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49886C" w14:textId="28945BF1" w:rsidR="005E5BB4" w:rsidRPr="00632FBF" w:rsidRDefault="005E5BB4" w:rsidP="006E5CEC">
      <w:pPr>
        <w:pStyle w:val="n"/>
        <w:spacing w:before="120" w:after="120"/>
        <w:ind w:firstLine="709"/>
        <w:rPr>
          <w:rFonts w:ascii="Times New Roman" w:hAnsi="Times New Roman"/>
          <w:i/>
          <w:lang w:val="it-IT"/>
        </w:rPr>
      </w:pPr>
      <w:r w:rsidRPr="00632FBF">
        <w:rPr>
          <w:rFonts w:ascii="Times New Roman" w:hAnsi="Times New Roman"/>
          <w:lang w:val="it-IT"/>
        </w:rPr>
        <w:t xml:space="preserve">TRIBUNALE </w:t>
      </w:r>
      <w:r w:rsidR="00D6219A">
        <w:rPr>
          <w:rFonts w:ascii="Times New Roman" w:hAnsi="Times New Roman"/>
          <w:lang w:val="it-IT"/>
        </w:rPr>
        <w:t xml:space="preserve">APOSTOLICO </w:t>
      </w:r>
      <w:r w:rsidRPr="00632FBF">
        <w:rPr>
          <w:rFonts w:ascii="Times New Roman" w:hAnsi="Times New Roman"/>
          <w:lang w:val="it-IT"/>
        </w:rPr>
        <w:t xml:space="preserve">DELLA ROTA ROMANA - </w:t>
      </w:r>
      <w:r w:rsidRPr="00632FBF">
        <w:rPr>
          <w:rFonts w:ascii="Times New Roman" w:hAnsi="Times New Roman"/>
          <w:i/>
          <w:lang w:val="it-IT"/>
        </w:rPr>
        <w:t xml:space="preserve">Reg. Apuli </w:t>
      </w:r>
      <w:proofErr w:type="spellStart"/>
      <w:r w:rsidRPr="00632FBF">
        <w:rPr>
          <w:rFonts w:ascii="Times New Roman" w:hAnsi="Times New Roman"/>
          <w:i/>
          <w:lang w:val="it-IT"/>
        </w:rPr>
        <w:t>seu</w:t>
      </w:r>
      <w:proofErr w:type="spellEnd"/>
      <w:r w:rsidRPr="00632FBF">
        <w:rPr>
          <w:rFonts w:ascii="Times New Roman" w:hAnsi="Times New Roman"/>
          <w:i/>
          <w:lang w:val="it-IT"/>
        </w:rPr>
        <w:t xml:space="preserve"> </w:t>
      </w:r>
      <w:proofErr w:type="spellStart"/>
      <w:r w:rsidRPr="00632FBF">
        <w:rPr>
          <w:rFonts w:ascii="Times New Roman" w:hAnsi="Times New Roman"/>
          <w:i/>
          <w:lang w:val="it-IT"/>
        </w:rPr>
        <w:t>Altamuren</w:t>
      </w:r>
      <w:proofErr w:type="spellEnd"/>
      <w:r w:rsidRPr="00632FBF">
        <w:rPr>
          <w:rFonts w:ascii="Times New Roman" w:hAnsi="Times New Roman"/>
          <w:i/>
          <w:lang w:val="it-IT"/>
        </w:rPr>
        <w:t xml:space="preserve">. </w:t>
      </w:r>
      <w:r w:rsidR="0035532F" w:rsidRPr="00632FBF">
        <w:rPr>
          <w:rFonts w:ascii="Times New Roman" w:hAnsi="Times New Roman"/>
          <w:i/>
          <w:lang w:val="it-IT"/>
        </w:rPr>
        <w:t xml:space="preserve">- </w:t>
      </w:r>
      <w:proofErr w:type="spellStart"/>
      <w:r w:rsidR="0035532F" w:rsidRPr="00632FBF">
        <w:rPr>
          <w:rFonts w:ascii="Times New Roman" w:hAnsi="Times New Roman"/>
          <w:i/>
          <w:lang w:val="it-IT"/>
        </w:rPr>
        <w:t>Gravinen</w:t>
      </w:r>
      <w:proofErr w:type="spellEnd"/>
      <w:r w:rsidR="0035532F" w:rsidRPr="00632FBF">
        <w:rPr>
          <w:rFonts w:ascii="Times New Roman" w:hAnsi="Times New Roman"/>
          <w:i/>
          <w:lang w:val="it-IT"/>
        </w:rPr>
        <w:t xml:space="preserve">. - </w:t>
      </w:r>
      <w:proofErr w:type="spellStart"/>
      <w:r w:rsidR="0035532F" w:rsidRPr="00632FBF">
        <w:rPr>
          <w:rFonts w:ascii="Times New Roman" w:hAnsi="Times New Roman"/>
          <w:i/>
          <w:lang w:val="it-IT"/>
        </w:rPr>
        <w:t>Aquaviven</w:t>
      </w:r>
      <w:proofErr w:type="spellEnd"/>
      <w:r w:rsidR="0035532F" w:rsidRPr="00632FBF">
        <w:rPr>
          <w:rFonts w:ascii="Times New Roman" w:hAnsi="Times New Roman"/>
          <w:i/>
          <w:lang w:val="it-IT"/>
        </w:rPr>
        <w:t>.</w:t>
      </w:r>
      <w:r w:rsidR="0035532F" w:rsidRPr="00632FBF">
        <w:rPr>
          <w:rFonts w:ascii="Times New Roman" w:hAnsi="Times New Roman"/>
          <w:lang w:val="it-IT"/>
        </w:rPr>
        <w:t xml:space="preserve"> -</w:t>
      </w:r>
      <w:r w:rsidR="00897298">
        <w:rPr>
          <w:rFonts w:ascii="Times New Roman" w:hAnsi="Times New Roman"/>
          <w:lang w:val="it-IT"/>
        </w:rPr>
        <w:t xml:space="preserve"> </w:t>
      </w:r>
      <w:r w:rsidR="0035532F" w:rsidRPr="00632FBF">
        <w:rPr>
          <w:rFonts w:ascii="Times New Roman" w:hAnsi="Times New Roman"/>
          <w:lang w:val="it-IT"/>
        </w:rPr>
        <w:t xml:space="preserve">Nullità del matrimonio - </w:t>
      </w:r>
      <w:r w:rsidRPr="00632FBF">
        <w:rPr>
          <w:rFonts w:ascii="Times New Roman" w:hAnsi="Times New Roman"/>
          <w:lang w:val="it-IT"/>
        </w:rPr>
        <w:t xml:space="preserve">Dolo - </w:t>
      </w:r>
      <w:r w:rsidR="0035532F" w:rsidRPr="00632FBF">
        <w:rPr>
          <w:rFonts w:ascii="Times New Roman" w:hAnsi="Times New Roman"/>
          <w:lang w:val="it-IT"/>
        </w:rPr>
        <w:t>Decreto di conferma</w:t>
      </w:r>
      <w:r w:rsidRPr="00632FBF">
        <w:rPr>
          <w:rFonts w:ascii="Times New Roman" w:hAnsi="Times New Roman"/>
          <w:lang w:val="it-IT"/>
        </w:rPr>
        <w:t xml:space="preserve"> - </w:t>
      </w:r>
      <w:r w:rsidR="0035532F" w:rsidRPr="00632FBF">
        <w:rPr>
          <w:rFonts w:ascii="Times New Roman" w:hAnsi="Times New Roman"/>
          <w:lang w:val="it-IT"/>
        </w:rPr>
        <w:t>28 maggio 2015</w:t>
      </w:r>
      <w:r w:rsidRPr="00632FBF">
        <w:rPr>
          <w:rFonts w:ascii="Times New Roman" w:hAnsi="Times New Roman"/>
          <w:lang w:val="it-IT"/>
        </w:rPr>
        <w:t xml:space="preserve"> - </w:t>
      </w:r>
      <w:r w:rsidR="00D6219A">
        <w:rPr>
          <w:rFonts w:ascii="Times New Roman" w:hAnsi="Times New Roman"/>
          <w:lang w:val="it-IT"/>
        </w:rPr>
        <w:t xml:space="preserve">Pio Vito </w:t>
      </w:r>
      <w:r w:rsidR="0035532F" w:rsidRPr="00632FBF">
        <w:rPr>
          <w:rFonts w:ascii="Times New Roman" w:hAnsi="Times New Roman"/>
          <w:lang w:val="it-IT"/>
        </w:rPr>
        <w:t>Pinto</w:t>
      </w:r>
      <w:r w:rsidRPr="00632FBF">
        <w:rPr>
          <w:rFonts w:ascii="Times New Roman" w:hAnsi="Times New Roman"/>
          <w:lang w:val="it-IT"/>
        </w:rPr>
        <w:t xml:space="preserve">, </w:t>
      </w:r>
      <w:r w:rsidRPr="00632FBF">
        <w:rPr>
          <w:rFonts w:ascii="Times New Roman" w:hAnsi="Times New Roman"/>
          <w:i/>
          <w:lang w:val="it-IT"/>
        </w:rPr>
        <w:t>Ponente</w:t>
      </w:r>
      <w:r w:rsidRPr="00632FBF">
        <w:rPr>
          <w:rStyle w:val="Rimandonotaapidipagina"/>
          <w:sz w:val="24"/>
          <w:lang w:val="it-IT"/>
        </w:rPr>
        <w:footnoteReference w:customMarkFollows="1" w:id="1"/>
        <w:t>(*)</w:t>
      </w:r>
      <w:r w:rsidRPr="00632FBF">
        <w:rPr>
          <w:rFonts w:ascii="Times New Roman" w:hAnsi="Times New Roman"/>
          <w:i/>
          <w:lang w:val="it-IT"/>
        </w:rPr>
        <w:t>.</w:t>
      </w:r>
    </w:p>
    <w:p w14:paraId="39DE2A4D" w14:textId="77777777" w:rsidR="004C2744" w:rsidRPr="00632FBF" w:rsidRDefault="004C2744" w:rsidP="006E5CEC">
      <w:pPr>
        <w:pStyle w:val="n"/>
        <w:spacing w:before="120" w:after="120"/>
        <w:ind w:firstLine="709"/>
        <w:rPr>
          <w:rFonts w:ascii="Times New Roman" w:hAnsi="Times New Roman"/>
          <w:b/>
          <w:lang w:val="it-IT"/>
        </w:rPr>
      </w:pPr>
      <w:r w:rsidRPr="00632FBF">
        <w:rPr>
          <w:rFonts w:ascii="Times New Roman" w:hAnsi="Times New Roman"/>
          <w:b/>
          <w:lang w:val="it-IT"/>
        </w:rPr>
        <w:t>Matrimonio - Processo - questione preliminare sulla conferma mediante decreto.</w:t>
      </w:r>
    </w:p>
    <w:p w14:paraId="5D65D830" w14:textId="539EDF58" w:rsidR="00632FBF" w:rsidRPr="00632FBF" w:rsidRDefault="00632FBF" w:rsidP="00897298">
      <w:pPr>
        <w:pStyle w:val="n"/>
        <w:spacing w:before="120" w:after="120"/>
        <w:ind w:firstLine="709"/>
        <w:outlineLvl w:val="0"/>
        <w:rPr>
          <w:rFonts w:ascii="Times New Roman" w:hAnsi="Times New Roman"/>
          <w:b/>
          <w:lang w:val="it-IT"/>
        </w:rPr>
      </w:pPr>
      <w:r w:rsidRPr="00632FBF">
        <w:rPr>
          <w:rFonts w:ascii="Times New Roman" w:hAnsi="Times New Roman"/>
          <w:b/>
          <w:lang w:val="it-IT"/>
        </w:rPr>
        <w:t>Matrimonio - Processo - criteri validi per la conferma mediante decreto.</w:t>
      </w:r>
    </w:p>
    <w:p w14:paraId="2A5C75FA" w14:textId="77777777" w:rsidR="00303C2E" w:rsidRPr="00632FBF" w:rsidRDefault="00303C2E" w:rsidP="00897298">
      <w:pPr>
        <w:pStyle w:val="n"/>
        <w:spacing w:before="120" w:after="120"/>
        <w:ind w:firstLine="709"/>
        <w:outlineLvl w:val="0"/>
        <w:rPr>
          <w:rFonts w:ascii="Times New Roman" w:hAnsi="Times New Roman"/>
          <w:b/>
          <w:lang w:val="it-IT"/>
        </w:rPr>
      </w:pPr>
      <w:r w:rsidRPr="00632FBF">
        <w:rPr>
          <w:rFonts w:ascii="Times New Roman" w:hAnsi="Times New Roman"/>
          <w:b/>
          <w:lang w:val="it-IT"/>
        </w:rPr>
        <w:t>Matrimonio - Consenso - Dolo - Caratteristiche della qualità.</w:t>
      </w:r>
    </w:p>
    <w:p w14:paraId="4032A29C" w14:textId="77777777" w:rsidR="00303C2E" w:rsidRPr="00632FBF" w:rsidRDefault="00303C2E" w:rsidP="006E5CEC">
      <w:pPr>
        <w:pStyle w:val="n"/>
        <w:spacing w:before="120" w:after="120"/>
        <w:ind w:firstLine="709"/>
        <w:rPr>
          <w:rFonts w:ascii="Times New Roman" w:hAnsi="Times New Roman"/>
          <w:b/>
          <w:lang w:val="it-IT"/>
        </w:rPr>
      </w:pPr>
      <w:r w:rsidRPr="00632FBF">
        <w:rPr>
          <w:rFonts w:ascii="Times New Roman" w:hAnsi="Times New Roman"/>
          <w:b/>
          <w:lang w:val="it-IT"/>
        </w:rPr>
        <w:t>Matrimonio - Consenso - Condizione futura - L’esistenza o meno del dubbio.</w:t>
      </w:r>
    </w:p>
    <w:p w14:paraId="4BEDD264" w14:textId="77777777" w:rsidR="005E5BB4" w:rsidRPr="00632FBF" w:rsidRDefault="005E5BB4" w:rsidP="006E5CEC">
      <w:pPr>
        <w:spacing w:before="120" w:after="120"/>
        <w:ind w:firstLine="709"/>
        <w:jc w:val="both"/>
        <w:rPr>
          <w:rFonts w:ascii="Times New Roman" w:hAnsi="Times New Roman"/>
          <w:spacing w:val="-3"/>
          <w:szCs w:val="28"/>
          <w:lang w:val="it-IT"/>
        </w:rPr>
      </w:pPr>
    </w:p>
    <w:p w14:paraId="4502EC21" w14:textId="51E1ADF7" w:rsidR="004F391A" w:rsidRPr="00DE1073" w:rsidRDefault="004F391A" w:rsidP="006E5CEC">
      <w:pPr>
        <w:pStyle w:val="Style"/>
        <w:widowControl/>
        <w:spacing w:before="120" w:after="120"/>
        <w:ind w:firstLine="709"/>
        <w:jc w:val="both"/>
        <w:textAlignment w:val="baseline"/>
        <w:rPr>
          <w:rFonts w:ascii="Times New Roman" w:hAnsi="Times New Roman" w:cs="Times New Roman"/>
          <w:i/>
          <w:lang w:val="it-IT"/>
        </w:rPr>
      </w:pPr>
      <w:r w:rsidRPr="00DE1073">
        <w:rPr>
          <w:rFonts w:ascii="Times New Roman" w:hAnsi="Times New Roman" w:cs="Times New Roman"/>
          <w:i/>
          <w:lang w:val="it-IT"/>
        </w:rPr>
        <w:t xml:space="preserve">La questione preliminare sulla conferma o meno mediante decreto della sentenza affermativa è retta dall’art. 58 §2 NRRT. La giurisprudenza rotale ha sempre considerato che il can. 1682 §2 </w:t>
      </w:r>
      <w:r w:rsidR="00161049">
        <w:rPr>
          <w:rFonts w:ascii="Times New Roman" w:hAnsi="Times New Roman" w:cs="Times New Roman"/>
          <w:i/>
          <w:lang w:val="it-IT"/>
        </w:rPr>
        <w:t>non sia</w:t>
      </w:r>
      <w:r w:rsidR="00A94A65" w:rsidRPr="00DE1073">
        <w:rPr>
          <w:rFonts w:ascii="Times New Roman" w:hAnsi="Times New Roman" w:cs="Times New Roman"/>
          <w:i/>
          <w:lang w:val="it-IT"/>
        </w:rPr>
        <w:t xml:space="preserve"> una semplice prescrizione formale e che il Tribunale d’Appello dovrebbe sempre confermare la sentenza affermativa </w:t>
      </w:r>
      <w:r w:rsidR="00AB6AAB" w:rsidRPr="00DE1073">
        <w:rPr>
          <w:rFonts w:ascii="Times New Roman" w:hAnsi="Times New Roman" w:cs="Times New Roman"/>
          <w:i/>
          <w:lang w:val="it-IT"/>
        </w:rPr>
        <w:t>di prima istanza. Invece, si deve fare un vero esame giudiziale, il quale potrebbe rovesciare il sillogismo della sentenza ap</w:t>
      </w:r>
      <w:r w:rsidR="00632FBF" w:rsidRPr="00DE1073">
        <w:rPr>
          <w:rFonts w:ascii="Times New Roman" w:hAnsi="Times New Roman" w:cs="Times New Roman"/>
          <w:i/>
          <w:lang w:val="it-IT"/>
        </w:rPr>
        <w:t>pellata, il che ric</w:t>
      </w:r>
      <w:r w:rsidR="00156339" w:rsidRPr="00DE1073">
        <w:rPr>
          <w:rFonts w:ascii="Times New Roman" w:hAnsi="Times New Roman" w:cs="Times New Roman"/>
          <w:i/>
          <w:lang w:val="it-IT"/>
        </w:rPr>
        <w:t xml:space="preserve">hiederebbe </w:t>
      </w:r>
      <w:r w:rsidR="00EE3114" w:rsidRPr="00DE1073">
        <w:rPr>
          <w:rFonts w:ascii="Times New Roman" w:hAnsi="Times New Roman" w:cs="Times New Roman"/>
          <w:i/>
          <w:lang w:val="it-IT"/>
        </w:rPr>
        <w:t>una nuova fase pro</w:t>
      </w:r>
      <w:r w:rsidR="00632FBF" w:rsidRPr="00DE1073">
        <w:rPr>
          <w:rFonts w:ascii="Times New Roman" w:hAnsi="Times New Roman" w:cs="Times New Roman"/>
          <w:i/>
          <w:lang w:val="it-IT"/>
        </w:rPr>
        <w:t>b</w:t>
      </w:r>
      <w:r w:rsidR="00EE3114" w:rsidRPr="00DE1073">
        <w:rPr>
          <w:rFonts w:ascii="Times New Roman" w:hAnsi="Times New Roman" w:cs="Times New Roman"/>
          <w:i/>
          <w:lang w:val="it-IT"/>
        </w:rPr>
        <w:t xml:space="preserve">atoria circa la verità del vincolo </w:t>
      </w:r>
      <w:r w:rsidR="005770D7">
        <w:rPr>
          <w:rFonts w:ascii="Times New Roman" w:hAnsi="Times New Roman" w:cs="Times New Roman"/>
          <w:i/>
          <w:lang w:val="it-IT"/>
        </w:rPr>
        <w:t>coniugale</w:t>
      </w:r>
      <w:r w:rsidR="00303C2E" w:rsidRPr="00DE1073">
        <w:rPr>
          <w:rFonts w:ascii="Times New Roman" w:hAnsi="Times New Roman" w:cs="Times New Roman"/>
          <w:i/>
          <w:lang w:val="it-IT"/>
        </w:rPr>
        <w:t>, che si realizzerebbe tramite il passaggio al processo ordinario di secondo grado</w:t>
      </w:r>
      <w:r w:rsidR="00EB0100" w:rsidRPr="00DE1073">
        <w:rPr>
          <w:rFonts w:ascii="Times New Roman" w:hAnsi="Times New Roman" w:cs="Times New Roman"/>
          <w:i/>
          <w:lang w:val="it-IT"/>
        </w:rPr>
        <w:t xml:space="preserve"> (n. 3)</w:t>
      </w:r>
      <w:r w:rsidRPr="00DE1073">
        <w:rPr>
          <w:rFonts w:ascii="Times New Roman" w:hAnsi="Times New Roman" w:cs="Times New Roman"/>
          <w:i/>
          <w:lang w:val="it-IT"/>
        </w:rPr>
        <w:t>.</w:t>
      </w:r>
    </w:p>
    <w:p w14:paraId="1C298EF3" w14:textId="29B15830" w:rsidR="004F391A" w:rsidRPr="00DE1073" w:rsidRDefault="00EB0100" w:rsidP="006E5CEC">
      <w:pPr>
        <w:pStyle w:val="Style"/>
        <w:widowControl/>
        <w:spacing w:before="120" w:after="120"/>
        <w:ind w:firstLine="709"/>
        <w:jc w:val="both"/>
        <w:textAlignment w:val="baseline"/>
        <w:rPr>
          <w:rFonts w:ascii="Times New Roman" w:hAnsi="Times New Roman" w:cs="Times New Roman"/>
          <w:i/>
          <w:lang w:val="it-IT"/>
        </w:rPr>
      </w:pPr>
      <w:r w:rsidRPr="00DE1073">
        <w:rPr>
          <w:rFonts w:ascii="Times New Roman" w:hAnsi="Times New Roman" w:cs="Times New Roman"/>
          <w:i/>
          <w:lang w:val="it-IT"/>
        </w:rPr>
        <w:t>Nella decisione se confermar</w:t>
      </w:r>
      <w:r w:rsidR="00632FBF" w:rsidRPr="00DE1073">
        <w:rPr>
          <w:rFonts w:ascii="Times New Roman" w:hAnsi="Times New Roman" w:cs="Times New Roman"/>
          <w:i/>
          <w:lang w:val="it-IT"/>
        </w:rPr>
        <w:t>e</w:t>
      </w:r>
      <w:r w:rsidRPr="00DE1073">
        <w:rPr>
          <w:rFonts w:ascii="Times New Roman" w:hAnsi="Times New Roman" w:cs="Times New Roman"/>
          <w:i/>
          <w:lang w:val="it-IT"/>
        </w:rPr>
        <w:t xml:space="preserve"> o meno mediante decreto la sentenza affermativa, elemento fondamentale è valutare se s</w:t>
      </w:r>
      <w:r w:rsidR="00161049">
        <w:rPr>
          <w:rFonts w:ascii="Times New Roman" w:hAnsi="Times New Roman" w:cs="Times New Roman"/>
          <w:i/>
          <w:lang w:val="it-IT"/>
        </w:rPr>
        <w:t>ia</w:t>
      </w:r>
      <w:r w:rsidRPr="00DE1073">
        <w:rPr>
          <w:rFonts w:ascii="Times New Roman" w:hAnsi="Times New Roman" w:cs="Times New Roman"/>
          <w:i/>
          <w:lang w:val="it-IT"/>
        </w:rPr>
        <w:t>no ammissibili i principi giurisprudenziale della sentenza appellata, la coerenza del sillogismo probatorio e la conformità con la giurisprudenza prevalente (cfr. n. 3)</w:t>
      </w:r>
      <w:r w:rsidR="004F391A" w:rsidRPr="00DE1073">
        <w:rPr>
          <w:rFonts w:ascii="Times New Roman" w:hAnsi="Times New Roman" w:cs="Times New Roman"/>
          <w:i/>
          <w:lang w:val="it-IT"/>
        </w:rPr>
        <w:t>.</w:t>
      </w:r>
    </w:p>
    <w:p w14:paraId="7EE7D502" w14:textId="69A99D51" w:rsidR="00131F3C" w:rsidRPr="00DE1073" w:rsidRDefault="00E21592" w:rsidP="006E5CEC">
      <w:pPr>
        <w:pStyle w:val="Style"/>
        <w:widowControl/>
        <w:spacing w:before="120" w:after="120"/>
        <w:ind w:firstLine="709"/>
        <w:jc w:val="both"/>
        <w:textAlignment w:val="baseline"/>
        <w:rPr>
          <w:rFonts w:ascii="Times New Roman" w:hAnsi="Times New Roman" w:cs="Times New Roman"/>
          <w:i/>
          <w:lang w:val="it-IT"/>
        </w:rPr>
      </w:pPr>
      <w:r w:rsidRPr="00DE1073">
        <w:rPr>
          <w:rFonts w:ascii="Times New Roman" w:hAnsi="Times New Roman" w:cs="Times New Roman"/>
          <w:i/>
          <w:lang w:val="it-IT"/>
        </w:rPr>
        <w:t xml:space="preserve">Nelle cause sul dolo, un elemento fondamentale è la valutazione della qualità, in particolare, se </w:t>
      </w:r>
      <w:r w:rsidR="001E5164" w:rsidRPr="00DE1073">
        <w:rPr>
          <w:rFonts w:ascii="Times New Roman" w:hAnsi="Times New Roman" w:cs="Times New Roman"/>
          <w:i/>
          <w:lang w:val="it-IT"/>
        </w:rPr>
        <w:t>l’inganno riguarda</w:t>
      </w:r>
      <w:r w:rsidRPr="00DE1073">
        <w:rPr>
          <w:rFonts w:ascii="Times New Roman" w:hAnsi="Times New Roman" w:cs="Times New Roman"/>
          <w:i/>
          <w:lang w:val="it-IT"/>
        </w:rPr>
        <w:t xml:space="preserve"> una qualità dell’altro contraente o solo una circostanza</w:t>
      </w:r>
      <w:r w:rsidR="001E5164" w:rsidRPr="00DE1073">
        <w:rPr>
          <w:rFonts w:ascii="Times New Roman" w:hAnsi="Times New Roman" w:cs="Times New Roman"/>
          <w:i/>
          <w:lang w:val="it-IT"/>
        </w:rPr>
        <w:t xml:space="preserve"> che, secondo </w:t>
      </w:r>
      <w:r w:rsidR="00131F3C" w:rsidRPr="00DE1073">
        <w:rPr>
          <w:rFonts w:ascii="Times New Roman" w:hAnsi="Times New Roman" w:cs="Times New Roman"/>
          <w:i/>
          <w:lang w:val="it-IT"/>
        </w:rPr>
        <w:t>il testo</w:t>
      </w:r>
      <w:r w:rsidR="001E5164" w:rsidRPr="00DE1073">
        <w:rPr>
          <w:rFonts w:ascii="Times New Roman" w:hAnsi="Times New Roman" w:cs="Times New Roman"/>
          <w:i/>
          <w:lang w:val="it-IT"/>
        </w:rPr>
        <w:t xml:space="preserve"> della legge, mancherebbe di importanza. Citando una sentenza coram Bartolacci, 28 maggio 2015, </w:t>
      </w:r>
      <w:proofErr w:type="spellStart"/>
      <w:r w:rsidR="001E5164" w:rsidRPr="00DE1073">
        <w:rPr>
          <w:rFonts w:ascii="Times New Roman" w:hAnsi="Times New Roman" w:cs="Times New Roman"/>
          <w:i/>
          <w:lang w:val="it-IT"/>
        </w:rPr>
        <w:t>Rzeszovien</w:t>
      </w:r>
      <w:proofErr w:type="spellEnd"/>
      <w:r w:rsidR="001E5164" w:rsidRPr="00DE1073">
        <w:rPr>
          <w:rFonts w:ascii="Times New Roman" w:hAnsi="Times New Roman" w:cs="Times New Roman"/>
          <w:i/>
          <w:lang w:val="it-IT"/>
        </w:rPr>
        <w:t xml:space="preserve">. (A. 113/2015, n. 7), con un collegio di cinque giudici, il turno </w:t>
      </w:r>
      <w:r w:rsidR="00161049">
        <w:rPr>
          <w:rFonts w:ascii="Times New Roman" w:hAnsi="Times New Roman" w:cs="Times New Roman"/>
          <w:i/>
          <w:lang w:val="it-IT"/>
        </w:rPr>
        <w:t>evidenzia</w:t>
      </w:r>
      <w:bookmarkStart w:id="0" w:name="_GoBack"/>
      <w:bookmarkEnd w:id="0"/>
      <w:r w:rsidR="001E5164" w:rsidRPr="00DE1073">
        <w:rPr>
          <w:rFonts w:ascii="Times New Roman" w:hAnsi="Times New Roman" w:cs="Times New Roman"/>
          <w:i/>
          <w:lang w:val="it-IT"/>
        </w:rPr>
        <w:t xml:space="preserve"> che i giudici devono valutare atten</w:t>
      </w:r>
      <w:r w:rsidR="00A9267F" w:rsidRPr="00DE1073">
        <w:rPr>
          <w:rFonts w:ascii="Times New Roman" w:hAnsi="Times New Roman" w:cs="Times New Roman"/>
          <w:i/>
          <w:lang w:val="it-IT"/>
        </w:rPr>
        <w:t>tamente se dietro una circostanza non si celi</w:t>
      </w:r>
      <w:r w:rsidR="001E5164" w:rsidRPr="00DE1073">
        <w:rPr>
          <w:rFonts w:ascii="Times New Roman" w:hAnsi="Times New Roman" w:cs="Times New Roman"/>
          <w:i/>
          <w:lang w:val="it-IT"/>
        </w:rPr>
        <w:t xml:space="preserve"> </w:t>
      </w:r>
      <w:r w:rsidR="00A9267F" w:rsidRPr="00DE1073">
        <w:rPr>
          <w:rFonts w:ascii="Times New Roman" w:hAnsi="Times New Roman" w:cs="Times New Roman"/>
          <w:i/>
          <w:lang w:val="it-IT"/>
        </w:rPr>
        <w:t>veramente una qualità dell’altro contraente, la quale può veramente perturbare la vita matrimoniale. Ad esempio, il dolo circa la determinazione di un domicilio autonomo</w:t>
      </w:r>
      <w:r w:rsidR="00131F3C" w:rsidRPr="00DE1073">
        <w:rPr>
          <w:rFonts w:ascii="Times New Roman" w:hAnsi="Times New Roman" w:cs="Times New Roman"/>
          <w:i/>
          <w:lang w:val="it-IT"/>
        </w:rPr>
        <w:t xml:space="preserve"> dai genitori del “</w:t>
      </w:r>
      <w:proofErr w:type="spellStart"/>
      <w:r w:rsidR="00131F3C" w:rsidRPr="00DE1073">
        <w:rPr>
          <w:rFonts w:ascii="Times New Roman" w:hAnsi="Times New Roman" w:cs="Times New Roman"/>
          <w:i/>
          <w:lang w:val="it-IT"/>
        </w:rPr>
        <w:t>decipiens</w:t>
      </w:r>
      <w:proofErr w:type="spellEnd"/>
      <w:r w:rsidR="00131F3C" w:rsidRPr="00DE1073">
        <w:rPr>
          <w:rFonts w:ascii="Times New Roman" w:hAnsi="Times New Roman" w:cs="Times New Roman"/>
          <w:i/>
          <w:lang w:val="it-IT"/>
        </w:rPr>
        <w:t xml:space="preserve">”, </w:t>
      </w:r>
      <w:r w:rsidR="00A9267F" w:rsidRPr="00DE1073">
        <w:rPr>
          <w:rFonts w:ascii="Times New Roman" w:hAnsi="Times New Roman" w:cs="Times New Roman"/>
          <w:i/>
          <w:lang w:val="it-IT"/>
        </w:rPr>
        <w:t xml:space="preserve">potrebbe nascondere una dipendenza abnorme di esso dai suoi genitori. Ugualmente, l’inganno circa </w:t>
      </w:r>
      <w:r w:rsidR="00131F3C" w:rsidRPr="00DE1073">
        <w:rPr>
          <w:rFonts w:ascii="Times New Roman" w:hAnsi="Times New Roman" w:cs="Times New Roman"/>
          <w:i/>
          <w:lang w:val="it-IT"/>
        </w:rPr>
        <w:t>l’esistenza di gravi impegni economici assunti e sul modo irresponsabile di gestirli, può nascondere dietro di sé l’imprudenza, la temerità, la mancanza di senso di responsabilità nella conduzione delle questioni familiari, qualità che possono avere gravi conseguenze nel consorzio di vita coniugale</w:t>
      </w:r>
      <w:r w:rsidR="00747A63" w:rsidRPr="00DE1073">
        <w:rPr>
          <w:rFonts w:ascii="Times New Roman" w:hAnsi="Times New Roman" w:cs="Times New Roman"/>
          <w:i/>
          <w:lang w:val="it-IT"/>
        </w:rPr>
        <w:t xml:space="preserve"> (cfr. n. 3).</w:t>
      </w:r>
    </w:p>
    <w:p w14:paraId="0FDD3C4C" w14:textId="73C76C6B" w:rsidR="00747A63" w:rsidRPr="00DE1073" w:rsidRDefault="00747A63" w:rsidP="006E5CEC">
      <w:pPr>
        <w:pStyle w:val="Style"/>
        <w:widowControl/>
        <w:spacing w:before="120" w:after="120"/>
        <w:ind w:firstLine="709"/>
        <w:jc w:val="both"/>
        <w:textAlignment w:val="baseline"/>
        <w:rPr>
          <w:rFonts w:ascii="Times New Roman" w:hAnsi="Times New Roman" w:cs="Times New Roman"/>
          <w:i/>
        </w:rPr>
      </w:pPr>
      <w:r w:rsidRPr="00DE1073">
        <w:rPr>
          <w:rFonts w:ascii="Times New Roman" w:hAnsi="Times New Roman" w:cs="Times New Roman"/>
          <w:i/>
        </w:rPr>
        <w:t xml:space="preserve">Nelle cause riguardanti la condizione, un elemento fondamentale da determinare e se il dubbio sia stato </w:t>
      </w:r>
      <w:r w:rsidR="006E5CEC" w:rsidRPr="00DE1073">
        <w:rPr>
          <w:rFonts w:ascii="Times New Roman" w:hAnsi="Times New Roman" w:cs="Times New Roman"/>
          <w:i/>
        </w:rPr>
        <w:t xml:space="preserve">o meno </w:t>
      </w:r>
      <w:r w:rsidRPr="00DE1073">
        <w:rPr>
          <w:rFonts w:ascii="Times New Roman" w:hAnsi="Times New Roman" w:cs="Times New Roman"/>
          <w:i/>
        </w:rPr>
        <w:t xml:space="preserve">fugato prima della celebrazione del matrimonio. Se il dubbio è stato superato, benché erroneamente, acquistando </w:t>
      </w:r>
      <w:r w:rsidR="006E5CEC" w:rsidRPr="00DE1073">
        <w:rPr>
          <w:rFonts w:ascii="Times New Roman" w:hAnsi="Times New Roman" w:cs="Times New Roman"/>
          <w:i/>
        </w:rPr>
        <w:t xml:space="preserve">il contraente la certezza circa l’esistenza dell’oggetto della condizione </w:t>
      </w:r>
      <w:r w:rsidRPr="00DE1073">
        <w:rPr>
          <w:rFonts w:ascii="Times New Roman" w:hAnsi="Times New Roman" w:cs="Times New Roman"/>
          <w:i/>
        </w:rPr>
        <w:t xml:space="preserve">prima del matrimonio, </w:t>
      </w:r>
      <w:r w:rsidR="006E5CEC" w:rsidRPr="00DE1073">
        <w:rPr>
          <w:rFonts w:ascii="Times New Roman" w:hAnsi="Times New Roman" w:cs="Times New Roman"/>
          <w:i/>
        </w:rPr>
        <w:t xml:space="preserve">in assenza di dubbio, </w:t>
      </w:r>
      <w:r w:rsidR="00161049">
        <w:rPr>
          <w:rFonts w:ascii="Times New Roman" w:hAnsi="Times New Roman" w:cs="Times New Roman"/>
          <w:i/>
        </w:rPr>
        <w:t>potrebbe venir</w:t>
      </w:r>
      <w:r w:rsidRPr="00DE1073">
        <w:rPr>
          <w:rFonts w:ascii="Times New Roman" w:hAnsi="Times New Roman" w:cs="Times New Roman"/>
          <w:i/>
        </w:rPr>
        <w:t xml:space="preserve"> meno il presupposto del consenso condizionato</w:t>
      </w:r>
      <w:r w:rsidR="006E5CEC" w:rsidRPr="00DE1073">
        <w:rPr>
          <w:rFonts w:ascii="Times New Roman" w:hAnsi="Times New Roman" w:cs="Times New Roman"/>
          <w:i/>
        </w:rPr>
        <w:t xml:space="preserve"> (cfr. n. 6)</w:t>
      </w:r>
      <w:r w:rsidRPr="00DE1073">
        <w:rPr>
          <w:rFonts w:ascii="Times New Roman" w:hAnsi="Times New Roman" w:cs="Times New Roman"/>
          <w:i/>
        </w:rPr>
        <w:t>.</w:t>
      </w:r>
    </w:p>
    <w:p w14:paraId="0784D6C5" w14:textId="77777777" w:rsidR="00483682" w:rsidRPr="00C0716F" w:rsidRDefault="00483682" w:rsidP="006E5CEC">
      <w:pPr>
        <w:pStyle w:val="Style"/>
        <w:widowControl/>
        <w:spacing w:before="120" w:after="120"/>
        <w:ind w:firstLine="709"/>
        <w:jc w:val="both"/>
        <w:textAlignment w:val="baseline"/>
        <w:rPr>
          <w:rFonts w:ascii="Times New Roman" w:hAnsi="Times New Roman" w:cs="Times New Roman"/>
        </w:rPr>
      </w:pPr>
    </w:p>
    <w:p w14:paraId="0E3008CE" w14:textId="12915158" w:rsidR="00255C2E" w:rsidRPr="00C0716F" w:rsidRDefault="004C2744" w:rsidP="00DE1073">
      <w:pPr>
        <w:pStyle w:val="Style"/>
        <w:widowControl/>
        <w:spacing w:before="120" w:after="120"/>
        <w:ind w:firstLine="709"/>
        <w:jc w:val="both"/>
        <w:textAlignment w:val="baseline"/>
        <w:rPr>
          <w:rFonts w:ascii="Times New Roman" w:hAnsi="Times New Roman" w:cs="Times New Roman"/>
        </w:rPr>
      </w:pPr>
      <w:r>
        <w:rPr>
          <w:rFonts w:ascii="Times New Roman" w:hAnsi="Times New Roman" w:cs="Times New Roman"/>
        </w:rPr>
        <w:lastRenderedPageBreak/>
        <w:t>(</w:t>
      </w:r>
      <w:r w:rsidRPr="004C2744">
        <w:rPr>
          <w:rFonts w:ascii="Times New Roman" w:hAnsi="Times New Roman" w:cs="Times New Roman"/>
          <w:i/>
        </w:rPr>
        <w:t>omissis</w:t>
      </w:r>
      <w:r>
        <w:rPr>
          <w:rFonts w:ascii="Times New Roman" w:hAnsi="Times New Roman" w:cs="Times New Roman"/>
        </w:rPr>
        <w:t xml:space="preserve">) </w:t>
      </w:r>
      <w:r w:rsidR="00483682" w:rsidRPr="00C0716F">
        <w:rPr>
          <w:rFonts w:ascii="Times New Roman" w:hAnsi="Times New Roman" w:cs="Times New Roman"/>
        </w:rPr>
        <w:t xml:space="preserve">Anno Domini 2015, die 28 maii, infrascripti Patres Auditores de Turno, in sede Apostolici Tribunalis Rotae Romanae legitime coadunati, ad quaestionem praeliminarem definiendam, in causa de qua supra: </w:t>
      </w:r>
      <w:r w:rsidR="00483682" w:rsidRPr="00C0716F">
        <w:rPr>
          <w:rFonts w:ascii="Times New Roman" w:eastAsia="TimesNewRomanPS-ItalicMT" w:hAnsi="Times New Roman" w:cs="Times New Roman"/>
          <w:i/>
          <w:iCs/>
        </w:rPr>
        <w:t>"Utrum sententia affirmativa Trib. Reg. Apuli diei 20 martii 2014 continenter confirmanda sit, an causa ad ordinarium examen secundi gradus remittenda sit"</w:t>
      </w:r>
      <w:r w:rsidR="00483682" w:rsidRPr="00C0716F">
        <w:rPr>
          <w:rFonts w:ascii="Times New Roman" w:eastAsia="Arial-ItalicMT" w:hAnsi="Times New Roman" w:cs="Times New Roman"/>
          <w:i/>
          <w:iCs/>
          <w:w w:val="109"/>
        </w:rPr>
        <w:t xml:space="preserve">, </w:t>
      </w:r>
      <w:r w:rsidR="00483682" w:rsidRPr="00C0716F">
        <w:rPr>
          <w:rFonts w:ascii="Times New Roman" w:hAnsi="Times New Roman" w:cs="Times New Roman"/>
        </w:rPr>
        <w:t>ad normam can. 1682, § 2, hoc pronuntiaverunt decretum.</w:t>
      </w:r>
    </w:p>
    <w:p w14:paraId="78B5F538" w14:textId="252A7C00" w:rsidR="00C0716F" w:rsidRDefault="00483682" w:rsidP="00DE1073">
      <w:pPr>
        <w:pStyle w:val="Style"/>
        <w:widowControl/>
        <w:spacing w:before="120" w:after="120"/>
        <w:ind w:firstLine="709"/>
        <w:jc w:val="both"/>
        <w:textAlignment w:val="baseline"/>
        <w:rPr>
          <w:rFonts w:ascii="Times New Roman" w:hAnsi="Times New Roman" w:cs="Times New Roman"/>
        </w:rPr>
      </w:pPr>
      <w:r w:rsidRPr="00E41631">
        <w:rPr>
          <w:rFonts w:ascii="Times New Roman" w:hAnsi="Times New Roman" w:cs="Times New Roman"/>
          <w:smallCaps/>
        </w:rPr>
        <w:t>Facti species</w:t>
      </w:r>
      <w:r w:rsidRPr="00C0716F">
        <w:rPr>
          <w:rFonts w:ascii="Times New Roman" w:hAnsi="Times New Roman" w:cs="Times New Roman"/>
        </w:rPr>
        <w:t xml:space="preserve">. </w:t>
      </w:r>
      <w:r w:rsidR="00E41631">
        <w:rPr>
          <w:rFonts w:ascii="Times New Roman" w:hAnsi="Times New Roman" w:cs="Times New Roman"/>
        </w:rPr>
        <w:t xml:space="preserve">1. </w:t>
      </w:r>
      <w:r w:rsidRPr="00C0716F">
        <w:rPr>
          <w:rFonts w:ascii="Times New Roman" w:hAnsi="Times New Roman" w:cs="Times New Roman"/>
        </w:rPr>
        <w:t xml:space="preserve">– D.nus </w:t>
      </w:r>
      <w:r w:rsidR="00095CD5">
        <w:rPr>
          <w:rFonts w:ascii="Times New Roman" w:hAnsi="Times New Roman" w:cs="Times New Roman"/>
        </w:rPr>
        <w:t>Georgius Bianco</w:t>
      </w:r>
      <w:r w:rsidRPr="00C0716F">
        <w:rPr>
          <w:rFonts w:ascii="Times New Roman" w:hAnsi="Times New Roman" w:cs="Times New Roman"/>
        </w:rPr>
        <w:t xml:space="preserve">, anno 1963 natus, vir actor in causa, et d.na </w:t>
      </w:r>
      <w:r w:rsidR="00095CD5">
        <w:rPr>
          <w:rFonts w:ascii="Times New Roman" w:hAnsi="Times New Roman" w:cs="Times New Roman"/>
        </w:rPr>
        <w:t>Laura Rossi</w:t>
      </w:r>
      <w:r w:rsidRPr="00C0716F">
        <w:rPr>
          <w:rFonts w:ascii="Times New Roman" w:hAnsi="Times New Roman" w:cs="Times New Roman"/>
        </w:rPr>
        <w:t xml:space="preserve">, anno 1969 orta, mulier conventa, die 10 februarii 2001 in ecclesia </w:t>
      </w:r>
      <w:r w:rsidR="00095CD5">
        <w:rPr>
          <w:rFonts w:ascii="Times New Roman" w:hAnsi="Times New Roman" w:cs="Times New Roman"/>
        </w:rPr>
        <w:t>(</w:t>
      </w:r>
      <w:r w:rsidR="00095CD5" w:rsidRPr="00095CD5">
        <w:rPr>
          <w:rFonts w:ascii="Times New Roman" w:hAnsi="Times New Roman" w:cs="Times New Roman"/>
          <w:i/>
        </w:rPr>
        <w:t>omissis</w:t>
      </w:r>
      <w:r w:rsidR="00095CD5">
        <w:rPr>
          <w:rFonts w:ascii="Times New Roman" w:hAnsi="Times New Roman" w:cs="Times New Roman"/>
        </w:rPr>
        <w:t>)</w:t>
      </w:r>
      <w:r w:rsidRPr="00C0716F">
        <w:rPr>
          <w:rFonts w:ascii="Times New Roman" w:hAnsi="Times New Roman" w:cs="Times New Roman"/>
        </w:rPr>
        <w:t>, nuptias contraxerunt.</w:t>
      </w:r>
    </w:p>
    <w:p w14:paraId="45D4E6DF" w14:textId="41600386" w:rsidR="00483682" w:rsidRPr="00C0716F" w:rsidRDefault="00483682" w:rsidP="00DE1073">
      <w:pPr>
        <w:pStyle w:val="Style"/>
        <w:widowControl/>
        <w:spacing w:before="120" w:after="120"/>
        <w:ind w:firstLine="709"/>
        <w:jc w:val="both"/>
        <w:textAlignment w:val="baseline"/>
        <w:rPr>
          <w:rFonts w:ascii="Times New Roman" w:hAnsi="Times New Roman" w:cs="Times New Roman"/>
        </w:rPr>
      </w:pPr>
      <w:r w:rsidRPr="00C0716F">
        <w:rPr>
          <w:rFonts w:ascii="Times New Roman" w:hAnsi="Times New Roman" w:cs="Times New Roman"/>
        </w:rPr>
        <w:t>Partes inter se primum occurrerant progrediente anno 1999 et relationem sponsaliciam statim instituerant, quae per biennium protracta est, aliquibus difficultatibus perturbata et intermissione quoque signata.</w:t>
      </w:r>
    </w:p>
    <w:p w14:paraId="5C42F853" w14:textId="1B740632" w:rsidR="0008084F" w:rsidRDefault="00483682" w:rsidP="00DE1073">
      <w:pPr>
        <w:pStyle w:val="Style"/>
        <w:widowControl/>
        <w:spacing w:before="120" w:after="120"/>
        <w:ind w:firstLine="709"/>
        <w:jc w:val="both"/>
        <w:textAlignment w:val="baseline"/>
        <w:rPr>
          <w:rFonts w:ascii="Times New Roman" w:hAnsi="Times New Roman" w:cs="Times New Roman"/>
        </w:rPr>
      </w:pPr>
      <w:r w:rsidRPr="00C0716F">
        <w:rPr>
          <w:rFonts w:ascii="Times New Roman" w:hAnsi="Times New Roman" w:cs="Times New Roman"/>
        </w:rPr>
        <w:t>Coniugalis conversatio, bina prole recreata, haud serena evasit praesertim ob pravum habitum mulieris conventae, quae, coniuge quidem inscio, in sua activitate oeconomica explenda perplures fideiussiones incaute subscripserat, iam perdurante tempore praenuptiali.</w:t>
      </w:r>
    </w:p>
    <w:p w14:paraId="6FB11F54" w14:textId="4D1E6FD3" w:rsidR="0008084F" w:rsidRDefault="00483682" w:rsidP="00DE1073">
      <w:pPr>
        <w:pStyle w:val="Style"/>
        <w:widowControl/>
        <w:spacing w:before="120" w:after="120"/>
        <w:ind w:firstLine="709"/>
        <w:jc w:val="both"/>
        <w:textAlignment w:val="baseline"/>
        <w:rPr>
          <w:rFonts w:ascii="Times New Roman" w:hAnsi="Times New Roman" w:cs="Times New Roman"/>
        </w:rPr>
      </w:pPr>
      <w:r w:rsidRPr="00C0716F">
        <w:rPr>
          <w:rFonts w:ascii="Times New Roman" w:hAnsi="Times New Roman" w:cs="Times New Roman"/>
        </w:rPr>
        <w:t>Discidiis magis magisque ingravescentibus, quinque fere annis elapsis, coniuges ad definitivam separationem pervenerunt, a muliere anno 2005 iudicialiter petitam, consensuali modo dein immutatam et mense maio 2009 homologatam.</w:t>
      </w:r>
    </w:p>
    <w:p w14:paraId="221D092A" w14:textId="7175B75B" w:rsidR="0008084F" w:rsidRDefault="00E1525C" w:rsidP="00DE1073">
      <w:pPr>
        <w:pStyle w:val="Style"/>
        <w:widowControl/>
        <w:spacing w:before="120" w:after="120"/>
        <w:ind w:firstLine="709"/>
        <w:jc w:val="both"/>
        <w:textAlignment w:val="baseline"/>
        <w:rPr>
          <w:rFonts w:ascii="Times New Roman" w:hAnsi="Times New Roman" w:cs="Times New Roman"/>
        </w:rPr>
      </w:pPr>
      <w:r>
        <w:rPr>
          <w:rFonts w:ascii="Times New Roman" w:hAnsi="Times New Roman" w:cs="Times New Roman"/>
        </w:rPr>
        <w:t>2.</w:t>
      </w:r>
      <w:r w:rsidR="00E41631">
        <w:rPr>
          <w:rFonts w:ascii="Times New Roman" w:hAnsi="Times New Roman" w:cs="Times New Roman"/>
        </w:rPr>
        <w:t xml:space="preserve"> –</w:t>
      </w:r>
      <w:r>
        <w:rPr>
          <w:rFonts w:ascii="Times New Roman" w:hAnsi="Times New Roman" w:cs="Times New Roman"/>
        </w:rPr>
        <w:t xml:space="preserve"> </w:t>
      </w:r>
      <w:r w:rsidR="00483682" w:rsidRPr="00C0716F">
        <w:rPr>
          <w:rFonts w:ascii="Times New Roman" w:hAnsi="Times New Roman" w:cs="Times New Roman"/>
        </w:rPr>
        <w:t xml:space="preserve">Sententia pro vinculo die 26 februarii 2009 prolata a Tribunali Ecclesiastico Regionali Insubri ob exclusum bonum sacramenti ex parte viri actoris, novum supplicem libellum diei 13 februarii 2012 vir exhibuit coram Tribunali Regionali Apulo, ratione domicilii partis conventae competenti, nullitatem matrimonii denuo petens ob condicionem de futuro consensui appositam ad mentem can. 1102 § </w:t>
      </w:r>
      <w:r w:rsidR="00483682" w:rsidRPr="00C0716F">
        <w:rPr>
          <w:rFonts w:ascii="Times New Roman" w:hAnsi="Times New Roman" w:cs="Times New Roman"/>
          <w:w w:val="108"/>
        </w:rPr>
        <w:t xml:space="preserve">1 CIC </w:t>
      </w:r>
      <w:r w:rsidR="00483682" w:rsidRPr="00C0716F">
        <w:rPr>
          <w:rFonts w:ascii="Times New Roman" w:hAnsi="Times New Roman" w:cs="Times New Roman"/>
        </w:rPr>
        <w:t xml:space="preserve">et ob dolum a muliere conventa patratum ad mentem can. 1098 </w:t>
      </w:r>
      <w:r w:rsidR="00483682" w:rsidRPr="00C0716F">
        <w:rPr>
          <w:rFonts w:ascii="Times New Roman" w:hAnsi="Times New Roman" w:cs="Times New Roman"/>
          <w:w w:val="108"/>
        </w:rPr>
        <w:t>CIC.</w:t>
      </w:r>
    </w:p>
    <w:p w14:paraId="64E1E97A" w14:textId="782B893F" w:rsidR="0008084F" w:rsidRDefault="00483682" w:rsidP="00DE1073">
      <w:pPr>
        <w:pStyle w:val="Style"/>
        <w:widowControl/>
        <w:spacing w:before="120" w:after="120"/>
        <w:ind w:firstLine="709"/>
        <w:jc w:val="both"/>
        <w:textAlignment w:val="baseline"/>
        <w:rPr>
          <w:rFonts w:ascii="Times New Roman" w:hAnsi="Times New Roman" w:cs="Times New Roman"/>
        </w:rPr>
      </w:pPr>
      <w:r w:rsidRPr="00C0716F">
        <w:rPr>
          <w:rFonts w:ascii="Times New Roman" w:hAnsi="Times New Roman" w:cs="Times New Roman"/>
        </w:rPr>
        <w:t>Collegio constituto et libello admisso, dubium iuxta petitionem viri actoris concordatum est.</w:t>
      </w:r>
    </w:p>
    <w:p w14:paraId="1BD6FD74" w14:textId="393D2EE6" w:rsidR="0008084F" w:rsidRDefault="00483682" w:rsidP="00DE1073">
      <w:pPr>
        <w:pStyle w:val="Style"/>
        <w:widowControl/>
        <w:spacing w:before="120" w:after="120"/>
        <w:ind w:firstLine="709"/>
        <w:jc w:val="both"/>
        <w:textAlignment w:val="baseline"/>
        <w:rPr>
          <w:rFonts w:ascii="Times New Roman" w:hAnsi="Times New Roman" w:cs="Times New Roman"/>
        </w:rPr>
      </w:pPr>
      <w:r w:rsidRPr="00C0716F">
        <w:rPr>
          <w:rFonts w:ascii="Times New Roman" w:hAnsi="Times New Roman" w:cs="Times New Roman"/>
        </w:rPr>
        <w:t>Utraque parte audita et pluribus testibus excussis, aditum Tribunal die 20 septembris 2014 sententiam affirmativam ad omnia prodidit.</w:t>
      </w:r>
    </w:p>
    <w:p w14:paraId="3CCB6989" w14:textId="7B3CEE84" w:rsidR="0008084F" w:rsidRDefault="00483682" w:rsidP="00DE1073">
      <w:pPr>
        <w:pStyle w:val="Style"/>
        <w:widowControl/>
        <w:spacing w:before="120" w:after="120"/>
        <w:ind w:firstLine="709"/>
        <w:jc w:val="both"/>
        <w:textAlignment w:val="baseline"/>
        <w:rPr>
          <w:rFonts w:ascii="Times New Roman" w:hAnsi="Times New Roman" w:cs="Times New Roman"/>
        </w:rPr>
      </w:pPr>
      <w:r w:rsidRPr="00C0716F">
        <w:rPr>
          <w:rFonts w:ascii="Times New Roman" w:hAnsi="Times New Roman" w:cs="Times New Roman"/>
        </w:rPr>
        <w:t xml:space="preserve">Viro actore instante, causa ad N.A.F. pervenit, ubi Turno rite constituto et animadversionibus pro Vinculo ad normam iuris exhibitis, Nobis hodie quaestio solvenda est praeliminaris, nempe utrum adfirmativa sententia continenter sit confirmanda, in casu, an causa ad ordinarium secundi gradus examen sit </w:t>
      </w:r>
      <w:r w:rsidR="00255C2E" w:rsidRPr="00C0716F">
        <w:rPr>
          <w:rFonts w:ascii="Times New Roman" w:hAnsi="Times New Roman" w:cs="Times New Roman"/>
        </w:rPr>
        <w:t>admittenda.</w:t>
      </w:r>
    </w:p>
    <w:p w14:paraId="255DD6EA" w14:textId="51DA4373" w:rsidR="0008084F" w:rsidRDefault="00483682" w:rsidP="00DE1073">
      <w:pPr>
        <w:pStyle w:val="Style"/>
        <w:widowControl/>
        <w:spacing w:before="120" w:after="120"/>
        <w:ind w:firstLine="709"/>
        <w:jc w:val="both"/>
        <w:textAlignment w:val="baseline"/>
        <w:rPr>
          <w:rFonts w:ascii="Times New Roman" w:hAnsi="Times New Roman" w:cs="Times New Roman"/>
        </w:rPr>
      </w:pPr>
      <w:r w:rsidRPr="00E41631">
        <w:rPr>
          <w:rFonts w:ascii="Times New Roman" w:eastAsia="TimesNewRomanPS-BoldMT" w:hAnsi="Times New Roman" w:cs="Times New Roman"/>
          <w:smallCaps/>
          <w:w w:val="92"/>
        </w:rPr>
        <w:t xml:space="preserve">In </w:t>
      </w:r>
      <w:r w:rsidRPr="00E41631">
        <w:rPr>
          <w:rFonts w:ascii="Times New Roman" w:hAnsi="Times New Roman" w:cs="Times New Roman"/>
          <w:smallCaps/>
        </w:rPr>
        <w:t xml:space="preserve">iure et </w:t>
      </w:r>
      <w:r w:rsidRPr="00E41631">
        <w:rPr>
          <w:rFonts w:ascii="Times New Roman" w:eastAsia="TimesNewRomanPS-BoldMT" w:hAnsi="Times New Roman" w:cs="Times New Roman"/>
          <w:smallCaps/>
          <w:w w:val="92"/>
        </w:rPr>
        <w:t xml:space="preserve">in </w:t>
      </w:r>
      <w:r w:rsidRPr="00E41631">
        <w:rPr>
          <w:rFonts w:ascii="Times New Roman" w:hAnsi="Times New Roman" w:cs="Times New Roman"/>
          <w:smallCaps/>
        </w:rPr>
        <w:t>facto</w:t>
      </w:r>
      <w:r w:rsidRPr="00E41631">
        <w:rPr>
          <w:rFonts w:ascii="Times New Roman" w:hAnsi="Times New Roman" w:cs="Times New Roman"/>
        </w:rPr>
        <w:t>.</w:t>
      </w:r>
      <w:r w:rsidR="00E1525C">
        <w:rPr>
          <w:rFonts w:ascii="Times New Roman" w:hAnsi="Times New Roman" w:cs="Times New Roman"/>
        </w:rPr>
        <w:t xml:space="preserve"> </w:t>
      </w:r>
      <w:r w:rsidR="00E41631">
        <w:rPr>
          <w:rFonts w:ascii="Times New Roman" w:hAnsi="Times New Roman" w:cs="Times New Roman"/>
        </w:rPr>
        <w:t>3.</w:t>
      </w:r>
      <w:r w:rsidR="00E41631" w:rsidRPr="00C0716F">
        <w:rPr>
          <w:rFonts w:ascii="Times New Roman" w:hAnsi="Times New Roman" w:cs="Times New Roman"/>
        </w:rPr>
        <w:t xml:space="preserve"> </w:t>
      </w:r>
      <w:r w:rsidR="00E41631">
        <w:rPr>
          <w:rFonts w:ascii="Times New Roman" w:hAnsi="Times New Roman" w:cs="Times New Roman"/>
        </w:rPr>
        <w:t xml:space="preserve">– </w:t>
      </w:r>
      <w:r w:rsidRPr="00C0716F">
        <w:rPr>
          <w:rFonts w:ascii="Times New Roman" w:hAnsi="Times New Roman" w:cs="Times New Roman"/>
        </w:rPr>
        <w:t>Quaestio praeliminaris de confirmanda vel minus sententia pro matrimonii nullitate lata in primo iurisdictionis gradu regitur art. 58 §2 NRRT.</w:t>
      </w:r>
    </w:p>
    <w:p w14:paraId="3124BB7D" w14:textId="677518B0" w:rsidR="0008084F" w:rsidRDefault="00483682" w:rsidP="00DE1073">
      <w:pPr>
        <w:pStyle w:val="Style"/>
        <w:widowControl/>
        <w:spacing w:before="120" w:after="120"/>
        <w:ind w:firstLine="709"/>
        <w:jc w:val="both"/>
        <w:textAlignment w:val="baseline"/>
        <w:rPr>
          <w:rFonts w:ascii="Times New Roman" w:hAnsi="Times New Roman" w:cs="Times New Roman"/>
        </w:rPr>
      </w:pPr>
      <w:r w:rsidRPr="00C0716F">
        <w:rPr>
          <w:rFonts w:ascii="Times New Roman" w:hAnsi="Times New Roman" w:cs="Times New Roman"/>
        </w:rPr>
        <w:t>Iurisprudentia N.A.T. semper tenuit normam can. 1682 §2 simplex non esse praescriptum formale ita ut Tribunal Appellationis confirmare plerumque debeat affirmativam decisionem primae curae, sed contra verum examen iudiciale necessarium esse, cum appellatae decisionis syllogismus everti potest, urgente necessitate certiores persequendi probationes circa vinculi sacri iudicialem veritatem.</w:t>
      </w:r>
    </w:p>
    <w:p w14:paraId="24F1FE33" w14:textId="1240FC32" w:rsidR="0008084F" w:rsidRDefault="00483682" w:rsidP="00DE1073">
      <w:pPr>
        <w:pStyle w:val="Style"/>
        <w:widowControl/>
        <w:spacing w:before="120" w:after="120"/>
        <w:ind w:firstLine="709"/>
        <w:jc w:val="both"/>
        <w:textAlignment w:val="baseline"/>
        <w:rPr>
          <w:rFonts w:ascii="Times New Roman" w:hAnsi="Times New Roman" w:cs="Times New Roman"/>
        </w:rPr>
      </w:pPr>
      <w:r w:rsidRPr="00C0716F">
        <w:rPr>
          <w:rFonts w:ascii="Times New Roman" w:hAnsi="Times New Roman" w:cs="Times New Roman"/>
        </w:rPr>
        <w:t>Iurisprudentiae principia ab appellata sententia concinne relata amplecti posse censuere infrascripti Patres, una cum syllogismate probatorio, quod secundum praevalentem rotalem iurisprudentiam perductum est.</w:t>
      </w:r>
    </w:p>
    <w:p w14:paraId="21DB6179" w14:textId="53C9F8AC" w:rsidR="0008084F" w:rsidRDefault="00483682" w:rsidP="00DE1073">
      <w:pPr>
        <w:pStyle w:val="Style"/>
        <w:widowControl/>
        <w:spacing w:before="120" w:after="120"/>
        <w:ind w:firstLine="709"/>
        <w:jc w:val="both"/>
        <w:textAlignment w:val="baseline"/>
        <w:rPr>
          <w:rFonts w:ascii="Times New Roman" w:hAnsi="Times New Roman" w:cs="Times New Roman"/>
        </w:rPr>
      </w:pPr>
      <w:r w:rsidRPr="00C0716F">
        <w:rPr>
          <w:rFonts w:ascii="Times New Roman" w:hAnsi="Times New Roman" w:cs="Times New Roman"/>
        </w:rPr>
        <w:t xml:space="preserve">Addenda tamen duxerunt quaedam ad casum prae manibus nimirum spectantia, quae quidem scite exposita sunt in una nuperrima quinque Auditoribus videntibus, scilicet: </w:t>
      </w:r>
      <w:r w:rsidR="00E1525C">
        <w:rPr>
          <w:rFonts w:ascii="Times New Roman" w:hAnsi="Times New Roman" w:cs="Times New Roman"/>
        </w:rPr>
        <w:t>«</w:t>
      </w:r>
      <w:r w:rsidRPr="00C0716F">
        <w:rPr>
          <w:rFonts w:ascii="Times New Roman" w:hAnsi="Times New Roman" w:cs="Times New Roman"/>
        </w:rPr>
        <w:t>Haud vero evenit [...] ut obiectum doli, potius quam personae qualitas, circumstantia quaedam ostendatur: quod iuxta legis litteram momento careret.</w:t>
      </w:r>
    </w:p>
    <w:p w14:paraId="1AEFF1FE" w14:textId="02F4EC07" w:rsidR="00483682" w:rsidRPr="00C0716F" w:rsidRDefault="00483682" w:rsidP="00DE1073">
      <w:pPr>
        <w:pStyle w:val="Style"/>
        <w:widowControl/>
        <w:spacing w:before="120" w:after="120"/>
        <w:ind w:firstLine="709"/>
        <w:jc w:val="both"/>
        <w:textAlignment w:val="baseline"/>
        <w:rPr>
          <w:rFonts w:ascii="Times New Roman" w:hAnsi="Times New Roman" w:cs="Times New Roman"/>
        </w:rPr>
      </w:pPr>
      <w:r w:rsidRPr="00C0716F">
        <w:rPr>
          <w:rFonts w:ascii="Times New Roman" w:hAnsi="Times New Roman" w:cs="Times New Roman"/>
        </w:rPr>
        <w:t>Attamen cordatus iudex non omittet casus intentam meditationem, ad discernendum nempe utrum</w:t>
      </w:r>
      <w:r w:rsidRPr="00C0716F">
        <w:rPr>
          <w:rFonts w:ascii="Times New Roman" w:hAnsi="Times New Roman" w:cs="Times New Roman"/>
          <w:w w:val="90"/>
        </w:rPr>
        <w:t xml:space="preserve">, </w:t>
      </w:r>
      <w:r w:rsidRPr="00C0716F">
        <w:rPr>
          <w:rFonts w:ascii="Times New Roman" w:hAnsi="Times New Roman" w:cs="Times New Roman"/>
        </w:rPr>
        <w:t>post elatam a parte circumstantiam, qualitas reapse quaedam personae celetur, ex qua primitus vitae maritalis perturbatio descendere potuit. Exempli gratia, dolus circa futuri domicilii coniugalis autonomam collocationem potest quidem in plicis abscondere abnormem decipientis a parentibus dependentiam</w:t>
      </w:r>
      <w:r w:rsidR="00E1525C">
        <w:rPr>
          <w:rFonts w:ascii="Times New Roman" w:hAnsi="Times New Roman" w:cs="Times New Roman"/>
        </w:rPr>
        <w:t>»</w:t>
      </w:r>
      <w:r w:rsidRPr="00C0716F">
        <w:rPr>
          <w:rFonts w:ascii="Times New Roman" w:hAnsi="Times New Roman" w:cs="Times New Roman"/>
        </w:rPr>
        <w:t xml:space="preserve"> (coram Bartolacci, sent. diei 28 maii 2015, Rzeszovien., A. 113/2015, n. 7).</w:t>
      </w:r>
    </w:p>
    <w:p w14:paraId="022357DF" w14:textId="0655B375" w:rsidR="00255C2E" w:rsidRPr="00C0716F" w:rsidRDefault="00483682" w:rsidP="00DE1073">
      <w:pPr>
        <w:pStyle w:val="Style"/>
        <w:widowControl/>
        <w:spacing w:before="120" w:after="120"/>
        <w:ind w:firstLine="709"/>
        <w:jc w:val="both"/>
        <w:textAlignment w:val="baseline"/>
        <w:rPr>
          <w:rFonts w:ascii="Times New Roman" w:hAnsi="Times New Roman" w:cs="Times New Roman"/>
        </w:rPr>
      </w:pPr>
      <w:r w:rsidRPr="00C0716F">
        <w:rPr>
          <w:rFonts w:ascii="Times New Roman" w:hAnsi="Times New Roman" w:cs="Times New Roman"/>
        </w:rPr>
        <w:t>Pariter deceptio circa aes alienum ponderose congestum vel quammaxime aleatoria incepta negotia, post se occultat, sicut recte primi gradus sententia agnovit, imprudentiam seu potius in negotiis gerendis, temeritatem, vel defectum sensus officii in re familiari perducenda: quae omnia qualitates constituunt ex sese in coniugalis vitae consortionem nefarias sequelas inferentes.</w:t>
      </w:r>
    </w:p>
    <w:p w14:paraId="03473B64" w14:textId="52280E02" w:rsidR="00255C2E" w:rsidRPr="00C0716F" w:rsidRDefault="00EE465F" w:rsidP="00DE1073">
      <w:pPr>
        <w:pStyle w:val="Style"/>
        <w:widowControl/>
        <w:spacing w:before="120" w:after="120"/>
        <w:ind w:firstLine="709"/>
        <w:jc w:val="both"/>
        <w:textAlignment w:val="baseline"/>
        <w:rPr>
          <w:rFonts w:ascii="Times New Roman" w:hAnsi="Times New Roman" w:cs="Times New Roman"/>
        </w:rPr>
      </w:pPr>
      <w:r>
        <w:rPr>
          <w:rFonts w:ascii="Times New Roman" w:hAnsi="Times New Roman" w:cs="Times New Roman"/>
        </w:rPr>
        <w:t xml:space="preserve">4. </w:t>
      </w:r>
      <w:r w:rsidR="00E41631">
        <w:rPr>
          <w:rFonts w:ascii="Times New Roman" w:hAnsi="Times New Roman" w:cs="Times New Roman"/>
        </w:rPr>
        <w:t xml:space="preserve">– </w:t>
      </w:r>
      <w:r w:rsidR="00483682" w:rsidRPr="00C0716F">
        <w:rPr>
          <w:rFonts w:ascii="Times New Roman" w:hAnsi="Times New Roman" w:cs="Times New Roman"/>
        </w:rPr>
        <w:t>Prae oculis habita nuper exposita parte in iure, actis attente perscrutatis, infrascripti Patres moralem certitudinem accersiti sunt de nullitate coniugii, in casu, ob caput dumtaxat doli a muliere conventa patrati; non autem de altero capite allato ob condicionem de futuro a viro actore appositam.</w:t>
      </w:r>
    </w:p>
    <w:p w14:paraId="5EBE27D5" w14:textId="16CFAE50" w:rsidR="00483682" w:rsidRPr="00C0716F" w:rsidRDefault="00483682" w:rsidP="00DE1073">
      <w:pPr>
        <w:pStyle w:val="Style"/>
        <w:widowControl/>
        <w:spacing w:before="120" w:after="120"/>
        <w:ind w:firstLine="709"/>
        <w:jc w:val="both"/>
        <w:textAlignment w:val="baseline"/>
        <w:rPr>
          <w:rFonts w:ascii="Times New Roman" w:hAnsi="Times New Roman" w:cs="Times New Roman"/>
        </w:rPr>
      </w:pPr>
      <w:r w:rsidRPr="00C0716F">
        <w:rPr>
          <w:rFonts w:ascii="Times New Roman" w:hAnsi="Times New Roman" w:cs="Times New Roman"/>
        </w:rPr>
        <w:t>De capite doli ex parte mulieris ad extorquendum consensum censuere Patres ex actis et probatis principium facta tandem aliquando esse validi ora verbis applicari legitime, in casu, attentis perpluribus documentis civilibus poenalibusque quae pro declaranda nullitate militant.</w:t>
      </w:r>
    </w:p>
    <w:p w14:paraId="400AF6ED" w14:textId="356CB24D" w:rsidR="00483682" w:rsidRPr="00C0716F" w:rsidRDefault="00483682" w:rsidP="00DE1073">
      <w:pPr>
        <w:pStyle w:val="Style"/>
        <w:widowControl/>
        <w:spacing w:before="120" w:after="120"/>
        <w:ind w:firstLine="709"/>
        <w:jc w:val="both"/>
        <w:textAlignment w:val="baseline"/>
        <w:rPr>
          <w:rFonts w:ascii="Times New Roman" w:hAnsi="Times New Roman" w:cs="Times New Roman"/>
        </w:rPr>
      </w:pPr>
      <w:r w:rsidRPr="00C0716F">
        <w:rPr>
          <w:rFonts w:ascii="Times New Roman" w:hAnsi="Times New Roman" w:cs="Times New Roman"/>
        </w:rPr>
        <w:t>Adiuncta praesentis causae ad unum reapse coalescunt, nempe virum actorem deceptum fuisse a muliere ob grave dolosum silentium sive mulieris conventae sive eiusdem parentum circa fideiussiones ab ipsa muliere incaute subscriptas, iam tempore praenuptiali. Omnino igitur patet actum esse, in casu de dolo graviter omissivo.</w:t>
      </w:r>
    </w:p>
    <w:p w14:paraId="0703FD4E" w14:textId="69226F2A" w:rsidR="0008084F" w:rsidRDefault="005E2FBE" w:rsidP="00DE1073">
      <w:pPr>
        <w:pStyle w:val="Style"/>
        <w:widowControl/>
        <w:spacing w:before="120" w:after="120"/>
        <w:ind w:firstLine="709"/>
        <w:jc w:val="both"/>
        <w:textAlignment w:val="baseline"/>
        <w:rPr>
          <w:rFonts w:ascii="Times New Roman" w:hAnsi="Times New Roman" w:cs="Times New Roman"/>
        </w:rPr>
      </w:pPr>
      <w:r>
        <w:rPr>
          <w:rFonts w:ascii="Times New Roman" w:hAnsi="Times New Roman" w:cs="Times New Roman"/>
        </w:rPr>
        <w:t xml:space="preserve">5. </w:t>
      </w:r>
      <w:r w:rsidR="00E41631">
        <w:rPr>
          <w:rFonts w:ascii="Times New Roman" w:hAnsi="Times New Roman" w:cs="Times New Roman"/>
        </w:rPr>
        <w:t xml:space="preserve">– </w:t>
      </w:r>
      <w:r w:rsidR="00483682" w:rsidRPr="00C0716F">
        <w:rPr>
          <w:rFonts w:ascii="Times New Roman" w:hAnsi="Times New Roman" w:cs="Times New Roman"/>
        </w:rPr>
        <w:t xml:space="preserve">Primum, laudandum esse aestimaverunt Patres, appellatam sententiam primi gradus magnam credibilitatem viro actori tribuisse </w:t>
      </w:r>
      <w:r w:rsidR="00483682" w:rsidRPr="00C0716F">
        <w:rPr>
          <w:rFonts w:ascii="Times New Roman" w:hAnsi="Times New Roman" w:cs="Times New Roman"/>
          <w:w w:val="91"/>
        </w:rPr>
        <w:t xml:space="preserve">(cf. </w:t>
      </w:r>
      <w:r w:rsidR="00483682" w:rsidRPr="00C0716F">
        <w:rPr>
          <w:rFonts w:ascii="Times New Roman" w:hAnsi="Times New Roman" w:cs="Times New Roman"/>
        </w:rPr>
        <w:t>Sent. p.</w:t>
      </w:r>
      <w:r w:rsidR="00505C66">
        <w:rPr>
          <w:rFonts w:ascii="Times New Roman" w:hAnsi="Times New Roman" w:cs="Times New Roman"/>
        </w:rPr>
        <w:t xml:space="preserve"> </w:t>
      </w:r>
      <w:r w:rsidR="00483682" w:rsidRPr="00C0716F">
        <w:rPr>
          <w:rFonts w:ascii="Times New Roman" w:hAnsi="Times New Roman" w:cs="Times New Roman"/>
        </w:rPr>
        <w:t>11, n.</w:t>
      </w:r>
      <w:r w:rsidR="00505C66">
        <w:rPr>
          <w:rFonts w:ascii="Times New Roman" w:hAnsi="Times New Roman" w:cs="Times New Roman"/>
        </w:rPr>
        <w:t xml:space="preserve"> </w:t>
      </w:r>
      <w:r w:rsidR="00483682" w:rsidRPr="00C0716F">
        <w:rPr>
          <w:rFonts w:ascii="Times New Roman" w:hAnsi="Times New Roman" w:cs="Times New Roman"/>
        </w:rPr>
        <w:t xml:space="preserve">18), utpote recte elucet ex sententia poenali a Tribunali </w:t>
      </w:r>
      <w:r>
        <w:rPr>
          <w:rFonts w:ascii="Times New Roman" w:hAnsi="Times New Roman" w:cs="Times New Roman"/>
        </w:rPr>
        <w:t>(</w:t>
      </w:r>
      <w:r w:rsidRPr="005E2FBE">
        <w:rPr>
          <w:rFonts w:ascii="Times New Roman" w:hAnsi="Times New Roman" w:cs="Times New Roman"/>
          <w:i/>
        </w:rPr>
        <w:t>omissis</w:t>
      </w:r>
      <w:r>
        <w:rPr>
          <w:rFonts w:ascii="Times New Roman" w:hAnsi="Times New Roman" w:cs="Times New Roman"/>
        </w:rPr>
        <w:t>)</w:t>
      </w:r>
      <w:r w:rsidR="00483682" w:rsidRPr="00C0716F">
        <w:rPr>
          <w:rFonts w:ascii="Times New Roman" w:hAnsi="Times New Roman" w:cs="Times New Roman"/>
        </w:rPr>
        <w:t xml:space="preserve"> die </w:t>
      </w:r>
      <w:r>
        <w:rPr>
          <w:rFonts w:ascii="Times New Roman" w:hAnsi="Times New Roman" w:cs="Times New Roman"/>
        </w:rPr>
        <w:t>(</w:t>
      </w:r>
      <w:r w:rsidRPr="005E2FBE">
        <w:rPr>
          <w:rFonts w:ascii="Times New Roman" w:hAnsi="Times New Roman" w:cs="Times New Roman"/>
          <w:i/>
        </w:rPr>
        <w:t>omissis</w:t>
      </w:r>
      <w:r>
        <w:rPr>
          <w:rFonts w:ascii="Times New Roman" w:hAnsi="Times New Roman" w:cs="Times New Roman"/>
        </w:rPr>
        <w:t>)</w:t>
      </w:r>
      <w:r w:rsidR="00483682" w:rsidRPr="00C0716F">
        <w:rPr>
          <w:rFonts w:ascii="Times New Roman" w:hAnsi="Times New Roman" w:cs="Times New Roman"/>
        </w:rPr>
        <w:t xml:space="preserve"> iunii 2005 prolata, iuxta relata ex parte viri actoris </w:t>
      </w:r>
      <w:r w:rsidR="00483682" w:rsidRPr="00C0716F">
        <w:rPr>
          <w:rFonts w:ascii="Times New Roman" w:eastAsia="ArialMT" w:hAnsi="Times New Roman" w:cs="Times New Roman"/>
          <w:w w:val="114"/>
        </w:rPr>
        <w:t xml:space="preserve">in </w:t>
      </w:r>
      <w:r w:rsidR="00483682" w:rsidRPr="00C0716F">
        <w:rPr>
          <w:rFonts w:ascii="Times New Roman" w:hAnsi="Times New Roman" w:cs="Times New Roman"/>
        </w:rPr>
        <w:t xml:space="preserve">iudicio: </w:t>
      </w:r>
      <w:r>
        <w:rPr>
          <w:rFonts w:ascii="Times New Roman" w:eastAsia="TimesNewRomanPS-ItalicMT" w:hAnsi="Times New Roman" w:cs="Times New Roman"/>
          <w:i/>
          <w:iCs/>
        </w:rPr>
        <w:t>«</w:t>
      </w:r>
      <w:r w:rsidR="00483682" w:rsidRPr="00C0716F">
        <w:rPr>
          <w:rFonts w:ascii="Times New Roman" w:eastAsia="TimesNewRomanPS-ItalicMT" w:hAnsi="Times New Roman" w:cs="Times New Roman"/>
          <w:i/>
          <w:iCs/>
        </w:rPr>
        <w:t xml:space="preserve">Tramite questa sentenza venni a sapere che quanto dettomi da </w:t>
      </w:r>
      <w:r>
        <w:rPr>
          <w:rFonts w:ascii="Times New Roman" w:eastAsia="TimesNewRomanPS-ItalicMT" w:hAnsi="Times New Roman" w:cs="Times New Roman"/>
          <w:i/>
          <w:iCs/>
        </w:rPr>
        <w:t>Laura Rossi</w:t>
      </w:r>
      <w:r w:rsidR="00483682" w:rsidRPr="00C0716F">
        <w:rPr>
          <w:rFonts w:ascii="Times New Roman" w:eastAsia="TimesNewRomanPS-ItalicMT" w:hAnsi="Times New Roman" w:cs="Times New Roman"/>
          <w:i/>
          <w:iCs/>
        </w:rPr>
        <w:t xml:space="preserve"> circa la fideiussione da lei sottoscritta, non rispondeva a verità, ossia che la fideiussione non era né unica, né temporanea, ma un modus operandi dell'Azienda per fare ricorso al credito, di cui anche </w:t>
      </w:r>
      <w:r>
        <w:rPr>
          <w:rFonts w:ascii="Times New Roman" w:eastAsia="TimesNewRomanPS-ItalicMT" w:hAnsi="Times New Roman" w:cs="Times New Roman"/>
          <w:i/>
          <w:iCs/>
        </w:rPr>
        <w:t>Laura Rossi</w:t>
      </w:r>
      <w:r w:rsidR="00483682" w:rsidRPr="00C0716F">
        <w:rPr>
          <w:rFonts w:ascii="Times New Roman" w:eastAsia="TimesNewRomanPS-ItalicMT" w:hAnsi="Times New Roman" w:cs="Times New Roman"/>
          <w:i/>
          <w:iCs/>
        </w:rPr>
        <w:t xml:space="preserve"> ne era a conoscenza in quanto sin dal momento della sua assunzione vi erano state sottoscrizioni di fideiussioni, firmate anche da lei. Le fideiussi</w:t>
      </w:r>
      <w:r>
        <w:rPr>
          <w:rFonts w:ascii="Times New Roman" w:eastAsia="TimesNewRomanPS-ItalicMT" w:hAnsi="Times New Roman" w:cs="Times New Roman"/>
          <w:i/>
          <w:iCs/>
        </w:rPr>
        <w:t>oni, pertanto, erano permanenti»</w:t>
      </w:r>
      <w:r w:rsidR="00483682" w:rsidRPr="00C0716F">
        <w:rPr>
          <w:rFonts w:ascii="Times New Roman" w:hAnsi="Times New Roman" w:cs="Times New Roman"/>
        </w:rPr>
        <w:t>.</w:t>
      </w:r>
    </w:p>
    <w:p w14:paraId="3BA9D182" w14:textId="554AF89E" w:rsidR="0008084F" w:rsidRDefault="00483682" w:rsidP="00DE1073">
      <w:pPr>
        <w:pStyle w:val="Style"/>
        <w:widowControl/>
        <w:spacing w:before="120" w:after="120"/>
        <w:ind w:firstLine="709"/>
        <w:jc w:val="both"/>
        <w:textAlignment w:val="baseline"/>
        <w:rPr>
          <w:rFonts w:ascii="Times New Roman" w:hAnsi="Times New Roman" w:cs="Times New Roman"/>
        </w:rPr>
      </w:pPr>
      <w:r w:rsidRPr="00C0716F">
        <w:rPr>
          <w:rFonts w:ascii="Times New Roman" w:hAnsi="Times New Roman" w:cs="Times New Roman"/>
        </w:rPr>
        <w:t xml:space="preserve">Sua ex parte mulier conventa, quamquam thesim adserti doli firmiter negat, de credibilitate viri actoris candide fassa est: </w:t>
      </w:r>
      <w:r w:rsidR="005E2FBE">
        <w:rPr>
          <w:rFonts w:ascii="Times New Roman" w:eastAsia="TimesNewRomanPS-ItalicMT" w:hAnsi="Times New Roman" w:cs="Times New Roman"/>
          <w:i/>
          <w:iCs/>
        </w:rPr>
        <w:t>«</w:t>
      </w:r>
      <w:r w:rsidRPr="00C0716F">
        <w:rPr>
          <w:rFonts w:ascii="Times New Roman" w:eastAsia="TimesNewRomanPS-ItalicMT" w:hAnsi="Times New Roman" w:cs="Times New Roman"/>
          <w:i/>
          <w:iCs/>
        </w:rPr>
        <w:t xml:space="preserve">Probabilmente </w:t>
      </w:r>
      <w:r w:rsidR="005E2FBE">
        <w:rPr>
          <w:rFonts w:ascii="Times New Roman" w:eastAsia="TimesNewRomanPS-ItalicMT" w:hAnsi="Times New Roman" w:cs="Times New Roman"/>
          <w:i/>
          <w:iCs/>
        </w:rPr>
        <w:t>Giorgio</w:t>
      </w:r>
      <w:r w:rsidRPr="00C0716F">
        <w:rPr>
          <w:rFonts w:ascii="Times New Roman" w:eastAsia="TimesNewRomanPS-ItalicMT" w:hAnsi="Times New Roman" w:cs="Times New Roman"/>
          <w:i/>
          <w:iCs/>
        </w:rPr>
        <w:t xml:space="preserve"> esternò </w:t>
      </w:r>
      <w:r w:rsidRPr="00C0716F">
        <w:rPr>
          <w:rFonts w:ascii="Times New Roman" w:eastAsia="Arial-ItalicMT" w:hAnsi="Times New Roman" w:cs="Times New Roman"/>
          <w:i/>
          <w:iCs/>
        </w:rPr>
        <w:t xml:space="preserve">i </w:t>
      </w:r>
      <w:r w:rsidRPr="00C0716F">
        <w:rPr>
          <w:rFonts w:ascii="Times New Roman" w:eastAsia="TimesNewRomanPS-ItalicMT" w:hAnsi="Times New Roman" w:cs="Times New Roman"/>
          <w:i/>
          <w:iCs/>
        </w:rPr>
        <w:t>suoi dubbi e le sue preoccupazioni a motivo della fideiu</w:t>
      </w:r>
      <w:r w:rsidR="005E2FBE">
        <w:rPr>
          <w:rFonts w:ascii="Times New Roman" w:eastAsia="TimesNewRomanPS-ItalicMT" w:hAnsi="Times New Roman" w:cs="Times New Roman"/>
          <w:i/>
          <w:iCs/>
        </w:rPr>
        <w:t>ssioni di cui abbiamo già detto»</w:t>
      </w:r>
      <w:r w:rsidRPr="00C0716F">
        <w:rPr>
          <w:rFonts w:ascii="Times New Roman" w:eastAsia="TimesNewRomanPS-ItalicMT" w:hAnsi="Times New Roman" w:cs="Times New Roman"/>
          <w:i/>
          <w:iCs/>
        </w:rPr>
        <w:t xml:space="preserve"> </w:t>
      </w:r>
      <w:r w:rsidR="00505C66">
        <w:rPr>
          <w:rFonts w:ascii="Times New Roman" w:hAnsi="Times New Roman" w:cs="Times New Roman"/>
        </w:rPr>
        <w:t>(S</w:t>
      </w:r>
      <w:r w:rsidR="00EE3114">
        <w:rPr>
          <w:rFonts w:ascii="Times New Roman" w:hAnsi="Times New Roman" w:cs="Times New Roman"/>
        </w:rPr>
        <w:t>ent.</w:t>
      </w:r>
      <w:r w:rsidRPr="00C0716F">
        <w:rPr>
          <w:rFonts w:ascii="Times New Roman" w:hAnsi="Times New Roman" w:cs="Times New Roman"/>
        </w:rPr>
        <w:t xml:space="preserve"> n.</w:t>
      </w:r>
      <w:r w:rsidR="005E2FBE">
        <w:rPr>
          <w:rFonts w:ascii="Times New Roman" w:hAnsi="Times New Roman" w:cs="Times New Roman"/>
        </w:rPr>
        <w:t xml:space="preserve"> </w:t>
      </w:r>
      <w:r w:rsidRPr="00C0716F">
        <w:rPr>
          <w:rFonts w:ascii="Times New Roman" w:hAnsi="Times New Roman" w:cs="Times New Roman"/>
        </w:rPr>
        <w:t xml:space="preserve">24), iustitiae Tribunalis sese remittens: </w:t>
      </w:r>
      <w:r w:rsidR="005E2FBE">
        <w:rPr>
          <w:rFonts w:ascii="Times New Roman" w:eastAsia="TimesNewRomanPS-ItalicMT" w:hAnsi="Times New Roman" w:cs="Times New Roman"/>
          <w:i/>
          <w:iCs/>
        </w:rPr>
        <w:t>«</w:t>
      </w:r>
      <w:r w:rsidRPr="00C0716F">
        <w:rPr>
          <w:rFonts w:ascii="Times New Roman" w:eastAsia="TimesNewRomanPS-ItalicMT" w:hAnsi="Times New Roman" w:cs="Times New Roman"/>
          <w:i/>
          <w:iCs/>
        </w:rPr>
        <w:t>Su questo punto mi rimet</w:t>
      </w:r>
      <w:r w:rsidR="005E2FBE">
        <w:rPr>
          <w:rFonts w:ascii="Times New Roman" w:eastAsia="TimesNewRomanPS-ItalicMT" w:hAnsi="Times New Roman" w:cs="Times New Roman"/>
          <w:i/>
          <w:iCs/>
        </w:rPr>
        <w:t>to alla decisione del Tribunale»</w:t>
      </w:r>
      <w:r w:rsidRPr="00C0716F">
        <w:rPr>
          <w:rFonts w:ascii="Times New Roman" w:eastAsia="TimesNewRomanPS-ItalicMT" w:hAnsi="Times New Roman" w:cs="Times New Roman"/>
          <w:i/>
          <w:iCs/>
        </w:rPr>
        <w:t xml:space="preserve"> </w:t>
      </w:r>
      <w:r w:rsidR="00505C66">
        <w:rPr>
          <w:rFonts w:ascii="Times New Roman" w:hAnsi="Times New Roman" w:cs="Times New Roman"/>
        </w:rPr>
        <w:t>(ibid</w:t>
      </w:r>
      <w:r w:rsidRPr="00C0716F">
        <w:rPr>
          <w:rFonts w:ascii="Times New Roman" w:hAnsi="Times New Roman" w:cs="Times New Roman"/>
        </w:rPr>
        <w:t>.</w:t>
      </w:r>
      <w:r w:rsidR="00505C66">
        <w:rPr>
          <w:rFonts w:ascii="Times New Roman" w:hAnsi="Times New Roman" w:cs="Times New Roman"/>
        </w:rPr>
        <w:t>).</w:t>
      </w:r>
    </w:p>
    <w:p w14:paraId="3AD46742" w14:textId="13B036CE" w:rsidR="0008084F" w:rsidRDefault="00483682" w:rsidP="00DE1073">
      <w:pPr>
        <w:pStyle w:val="Style"/>
        <w:widowControl/>
        <w:spacing w:before="120" w:after="120"/>
        <w:ind w:firstLine="709"/>
        <w:jc w:val="both"/>
        <w:textAlignment w:val="baseline"/>
        <w:rPr>
          <w:rFonts w:ascii="Times New Roman" w:hAnsi="Times New Roman" w:cs="Times New Roman"/>
        </w:rPr>
      </w:pPr>
      <w:r w:rsidRPr="00C0716F">
        <w:rPr>
          <w:rFonts w:ascii="Times New Roman" w:hAnsi="Times New Roman" w:cs="Times New Roman"/>
        </w:rPr>
        <w:t xml:space="preserve">Omnes fere testes de fallaci modo mulieris sese gerendi locuti sunt, quod idcirco certum constat non tantum ex assertis </w:t>
      </w:r>
      <w:r w:rsidRPr="00C0716F">
        <w:rPr>
          <w:rFonts w:ascii="Times New Roman" w:eastAsia="ArialMT" w:hAnsi="Times New Roman" w:cs="Times New Roman"/>
          <w:w w:val="110"/>
        </w:rPr>
        <w:t xml:space="preserve">in </w:t>
      </w:r>
      <w:r w:rsidRPr="00C0716F">
        <w:rPr>
          <w:rFonts w:ascii="Times New Roman" w:hAnsi="Times New Roman" w:cs="Times New Roman"/>
        </w:rPr>
        <w:t>actis potius vero ex perpluribus documentis iudicialibus quae vestigia magni momenti ferunt ad actionem dolosam ex parte mulieris conventae fulciendam.</w:t>
      </w:r>
    </w:p>
    <w:p w14:paraId="2F6971E5" w14:textId="42E6D51C" w:rsidR="0008084F" w:rsidRDefault="00483682" w:rsidP="00DE1073">
      <w:pPr>
        <w:pStyle w:val="Style"/>
        <w:widowControl/>
        <w:spacing w:before="120" w:after="120"/>
        <w:ind w:firstLine="709"/>
        <w:jc w:val="both"/>
        <w:textAlignment w:val="baseline"/>
        <w:rPr>
          <w:rFonts w:ascii="Times New Roman" w:hAnsi="Times New Roman" w:cs="Times New Roman"/>
        </w:rPr>
      </w:pPr>
      <w:r w:rsidRPr="00C0716F">
        <w:rPr>
          <w:rFonts w:ascii="Times New Roman" w:hAnsi="Times New Roman" w:cs="Times New Roman"/>
        </w:rPr>
        <w:t xml:space="preserve">Ad criterium reactionis quod attinet, certum est definitivam separationem decisam fuisse a viro veritate detecta, cum sententia poenalis lucem intulit </w:t>
      </w:r>
      <w:r w:rsidRPr="00C0716F">
        <w:rPr>
          <w:rFonts w:ascii="Times New Roman" w:eastAsia="ArialMT" w:hAnsi="Times New Roman" w:cs="Times New Roman"/>
          <w:w w:val="110"/>
        </w:rPr>
        <w:t xml:space="preserve">in </w:t>
      </w:r>
      <w:r w:rsidRPr="00C0716F">
        <w:rPr>
          <w:rFonts w:ascii="Times New Roman" w:hAnsi="Times New Roman" w:cs="Times New Roman"/>
        </w:rPr>
        <w:t xml:space="preserve">praesentem vicissitudinem humanam et iudicialem: </w:t>
      </w:r>
      <w:r w:rsidR="005E2FBE">
        <w:rPr>
          <w:rFonts w:ascii="Times New Roman" w:eastAsia="TimesNewRomanPS-ItalicMT" w:hAnsi="Times New Roman" w:cs="Times New Roman"/>
          <w:i/>
          <w:iCs/>
        </w:rPr>
        <w:t>«</w:t>
      </w:r>
      <w:r w:rsidRPr="00C0716F">
        <w:rPr>
          <w:rFonts w:ascii="Times New Roman" w:eastAsia="TimesNewRomanPS-ItalicMT" w:hAnsi="Times New Roman" w:cs="Times New Roman"/>
          <w:i/>
          <w:iCs/>
        </w:rPr>
        <w:t>Finalmente avevo prova certa del dolo ordito da mi</w:t>
      </w:r>
      <w:r w:rsidR="005E2FBE">
        <w:rPr>
          <w:rFonts w:ascii="Times New Roman" w:eastAsia="TimesNewRomanPS-ItalicMT" w:hAnsi="Times New Roman" w:cs="Times New Roman"/>
          <w:i/>
          <w:iCs/>
        </w:rPr>
        <w:t>a moglie per indurmi a sposarla»</w:t>
      </w:r>
      <w:r w:rsidRPr="00C0716F">
        <w:rPr>
          <w:rFonts w:ascii="Times New Roman" w:hAnsi="Times New Roman" w:cs="Times New Roman"/>
        </w:rPr>
        <w:t xml:space="preserve"> refert vir actor, qui adiungit: </w:t>
      </w:r>
      <w:r w:rsidR="00AA231A">
        <w:rPr>
          <w:rFonts w:ascii="Times New Roman" w:eastAsia="TimesNewRomanPS-ItalicMT" w:hAnsi="Times New Roman" w:cs="Times New Roman"/>
          <w:i/>
          <w:iCs/>
        </w:rPr>
        <w:t>«</w:t>
      </w:r>
      <w:r w:rsidRPr="00C0716F">
        <w:rPr>
          <w:rFonts w:ascii="Times New Roman" w:eastAsia="TimesNewRomanPS-ItalicMT" w:hAnsi="Times New Roman" w:cs="Times New Roman"/>
          <w:i/>
          <w:iCs/>
        </w:rPr>
        <w:t>Sicché dinanzi a questa prova schiacciante, decisi di chiud</w:t>
      </w:r>
      <w:r w:rsidR="00AA231A">
        <w:rPr>
          <w:rFonts w:ascii="Times New Roman" w:eastAsia="TimesNewRomanPS-ItalicMT" w:hAnsi="Times New Roman" w:cs="Times New Roman"/>
          <w:i/>
          <w:iCs/>
        </w:rPr>
        <w:t xml:space="preserve">ere definitivamente con lei </w:t>
      </w:r>
      <w:r w:rsidR="00AA231A">
        <w:rPr>
          <w:rFonts w:ascii="Times New Roman" w:eastAsia="TimesNewRomanPS-ItalicMT" w:hAnsi="Times New Roman" w:cs="Times New Roman"/>
          <w:iCs/>
        </w:rPr>
        <w:t>(…)»</w:t>
      </w:r>
      <w:r w:rsidRPr="00C0716F">
        <w:rPr>
          <w:rFonts w:ascii="Times New Roman" w:hAnsi="Times New Roman" w:cs="Times New Roman"/>
        </w:rPr>
        <w:t>.</w:t>
      </w:r>
    </w:p>
    <w:p w14:paraId="0D0787DA" w14:textId="1392F0D5" w:rsidR="0008084F" w:rsidRDefault="00AA231A" w:rsidP="00DE1073">
      <w:pPr>
        <w:pStyle w:val="Style"/>
        <w:widowControl/>
        <w:spacing w:before="120" w:after="120"/>
        <w:ind w:firstLine="709"/>
        <w:jc w:val="both"/>
        <w:textAlignment w:val="baseline"/>
        <w:rPr>
          <w:rFonts w:ascii="Times New Roman" w:hAnsi="Times New Roman" w:cs="Times New Roman"/>
        </w:rPr>
      </w:pPr>
      <w:r>
        <w:rPr>
          <w:rFonts w:ascii="Times New Roman" w:hAnsi="Times New Roman" w:cs="Times New Roman"/>
        </w:rPr>
        <w:t xml:space="preserve">6. </w:t>
      </w:r>
      <w:r w:rsidR="00E41631">
        <w:rPr>
          <w:rFonts w:ascii="Times New Roman" w:hAnsi="Times New Roman" w:cs="Times New Roman"/>
        </w:rPr>
        <w:t xml:space="preserve">– </w:t>
      </w:r>
      <w:r w:rsidR="00483682" w:rsidRPr="00C0716F">
        <w:rPr>
          <w:rFonts w:ascii="Times New Roman" w:hAnsi="Times New Roman" w:cs="Times New Roman"/>
        </w:rPr>
        <w:t>Quamquam Infrascriptis Patribus perplura videntur adesse in casu indicia ad alterum caput nullitatis quoque declarandum, nempe condicionem de futuro a viro appositam, ex actis causae tamen constat ipsum actorem,</w:t>
      </w:r>
      <w:r>
        <w:rPr>
          <w:rFonts w:ascii="Times New Roman" w:hAnsi="Times New Roman" w:cs="Times New Roman"/>
        </w:rPr>
        <w:t xml:space="preserve"> </w:t>
      </w:r>
      <w:r w:rsidR="00483682" w:rsidRPr="00C0716F">
        <w:rPr>
          <w:rFonts w:ascii="Times New Roman" w:hAnsi="Times New Roman" w:cs="Times New Roman"/>
        </w:rPr>
        <w:t>paucis mensibus ante nuptias, penitus investigavisse quoad fideiussiones a muliere subscriptas.</w:t>
      </w:r>
    </w:p>
    <w:p w14:paraId="1DC6B63F" w14:textId="7E87615D" w:rsidR="0008084F" w:rsidRDefault="00483682" w:rsidP="00DE1073">
      <w:pPr>
        <w:pStyle w:val="Style"/>
        <w:widowControl/>
        <w:spacing w:before="120" w:after="120"/>
        <w:ind w:firstLine="709"/>
        <w:jc w:val="both"/>
        <w:textAlignment w:val="baseline"/>
        <w:rPr>
          <w:rFonts w:ascii="Times New Roman" w:hAnsi="Times New Roman" w:cs="Times New Roman"/>
        </w:rPr>
      </w:pPr>
      <w:r w:rsidRPr="00C0716F">
        <w:rPr>
          <w:rFonts w:ascii="Times New Roman" w:hAnsi="Times New Roman" w:cs="Times New Roman"/>
        </w:rPr>
        <w:t xml:space="preserve">Neminem latet igitur quod vir actor fallaciam circumstantiae in condicione appositae iam ante nuptias detexerat, resciens nempe quod </w:t>
      </w:r>
      <w:r w:rsidR="00AA231A">
        <w:rPr>
          <w:rFonts w:ascii="Times New Roman" w:eastAsia="TimesNewRomanPS-ItalicMT" w:hAnsi="Times New Roman" w:cs="Times New Roman"/>
          <w:i/>
          <w:iCs/>
        </w:rPr>
        <w:t>«</w:t>
      </w:r>
      <w:r w:rsidRPr="00C0716F">
        <w:rPr>
          <w:rFonts w:ascii="Times New Roman" w:eastAsia="TimesNewRomanPS-ItalicMT" w:hAnsi="Times New Roman" w:cs="Times New Roman"/>
          <w:i/>
          <w:iCs/>
        </w:rPr>
        <w:t>la fideiussione era unica e te</w:t>
      </w:r>
      <w:r w:rsidR="00AA231A">
        <w:rPr>
          <w:rFonts w:ascii="Times New Roman" w:eastAsia="TimesNewRomanPS-ItalicMT" w:hAnsi="Times New Roman" w:cs="Times New Roman"/>
          <w:i/>
          <w:iCs/>
        </w:rPr>
        <w:t>mporanea e non ve ne sono altre»</w:t>
      </w:r>
      <w:r w:rsidRPr="00C0716F">
        <w:rPr>
          <w:rFonts w:ascii="Times New Roman" w:eastAsia="TimesNewRomanPS-ItalicMT" w:hAnsi="Times New Roman" w:cs="Times New Roman"/>
          <w:i/>
          <w:iCs/>
        </w:rPr>
        <w:t xml:space="preserve">, </w:t>
      </w:r>
      <w:r w:rsidRPr="00C0716F">
        <w:rPr>
          <w:rFonts w:ascii="Times New Roman" w:hAnsi="Times New Roman" w:cs="Times New Roman"/>
        </w:rPr>
        <w:t>prout ipse sustinet; deficiente ergo statu dubii ope acquisitae certitudinis, videtur substratum collabi in quo plerumque apponenda innititur condicio.</w:t>
      </w:r>
    </w:p>
    <w:p w14:paraId="3FEC09E9" w14:textId="040F119B" w:rsidR="0008084F" w:rsidRDefault="00483682" w:rsidP="00DE1073">
      <w:pPr>
        <w:pStyle w:val="Style"/>
        <w:widowControl/>
        <w:spacing w:before="120" w:after="120"/>
        <w:ind w:firstLine="709"/>
        <w:jc w:val="both"/>
        <w:textAlignment w:val="baseline"/>
        <w:rPr>
          <w:rFonts w:ascii="Times New Roman" w:hAnsi="Times New Roman" w:cs="Times New Roman"/>
        </w:rPr>
      </w:pPr>
      <w:r w:rsidRPr="00C0716F">
        <w:rPr>
          <w:rFonts w:ascii="Times New Roman" w:hAnsi="Times New Roman" w:cs="Times New Roman"/>
          <w:w w:val="105"/>
        </w:rPr>
        <w:t xml:space="preserve">7. </w:t>
      </w:r>
      <w:r w:rsidR="00E41631">
        <w:rPr>
          <w:rFonts w:ascii="Times New Roman" w:hAnsi="Times New Roman" w:cs="Times New Roman"/>
          <w:w w:val="105"/>
        </w:rPr>
        <w:t xml:space="preserve">– </w:t>
      </w:r>
      <w:r w:rsidRPr="00C0716F">
        <w:rPr>
          <w:rFonts w:ascii="Times New Roman" w:hAnsi="Times New Roman" w:cs="Times New Roman"/>
        </w:rPr>
        <w:t xml:space="preserve">Quibus omnibus in iure et in facto perpensis, infrascripti Patres Auditores de Turno, actis universis una cum appellata sententia examini subiectis, et Animadversionibus Defensoris vinculi pensitatis, propositae quaestioni praeliminari respondendum esse censuerunt, uti respondent: </w:t>
      </w:r>
      <w:r w:rsidRPr="00C0716F">
        <w:rPr>
          <w:rFonts w:ascii="Times New Roman" w:eastAsia="TimesNewRomanPS-ItalicMT" w:hAnsi="Times New Roman" w:cs="Times New Roman"/>
          <w:i/>
          <w:iCs/>
        </w:rPr>
        <w:t>Affirmative; seu sententiam Tribunalis Regionalis Apuli, diei 20 martii 2014 confirmandam esse; idcirco constare de nullitate matrimonii, in casu, dumtaxat ob dolum a muliere conventa patratum ad mentem can. 1098 CIC; eidem vetito transitu ad alias nuptias inconsulto Ordinario loci.</w:t>
      </w:r>
    </w:p>
    <w:p w14:paraId="14B37BC5" w14:textId="375FCB98" w:rsidR="0008084F" w:rsidRDefault="00483682" w:rsidP="00DE1073">
      <w:pPr>
        <w:pStyle w:val="Style"/>
        <w:widowControl/>
        <w:spacing w:before="120" w:after="120"/>
        <w:ind w:firstLine="709"/>
        <w:jc w:val="both"/>
        <w:textAlignment w:val="baseline"/>
        <w:rPr>
          <w:rFonts w:ascii="Times New Roman" w:hAnsi="Times New Roman" w:cs="Times New Roman"/>
        </w:rPr>
      </w:pPr>
      <w:r w:rsidRPr="00C0716F">
        <w:rPr>
          <w:rFonts w:ascii="Times New Roman" w:hAnsi="Times New Roman" w:cs="Times New Roman"/>
        </w:rPr>
        <w:t xml:space="preserve">Et ita statuerunt Patres, mandantes ut hoc Decretum </w:t>
      </w:r>
      <w:r w:rsidRPr="00C0716F">
        <w:rPr>
          <w:rFonts w:ascii="Times New Roman" w:hAnsi="Times New Roman" w:cs="Times New Roman"/>
          <w:w w:val="92"/>
        </w:rPr>
        <w:t>notificetur</w:t>
      </w:r>
      <w:r w:rsidRPr="00C0716F">
        <w:rPr>
          <w:rFonts w:ascii="Times New Roman" w:hAnsi="Times New Roman" w:cs="Times New Roman"/>
        </w:rPr>
        <w:t xml:space="preserve"> omnibus, quorum intersit, ad omnes iuris effectus.</w:t>
      </w:r>
    </w:p>
    <w:p w14:paraId="1AAE19F9" w14:textId="71125D48" w:rsidR="00483682" w:rsidRPr="00C0716F" w:rsidRDefault="00483682" w:rsidP="00DE1073">
      <w:pPr>
        <w:pStyle w:val="Style"/>
        <w:widowControl/>
        <w:spacing w:before="120" w:after="120"/>
        <w:ind w:firstLine="709"/>
        <w:jc w:val="both"/>
        <w:textAlignment w:val="baseline"/>
        <w:rPr>
          <w:rFonts w:ascii="Times New Roman" w:hAnsi="Times New Roman" w:cs="Times New Roman"/>
        </w:rPr>
      </w:pPr>
      <w:r w:rsidRPr="00C0716F">
        <w:rPr>
          <w:rFonts w:ascii="Times New Roman" w:hAnsi="Times New Roman" w:cs="Times New Roman"/>
        </w:rPr>
        <w:t>Datum Romae, in sede Tribunalis Rotae Romanae, die 28 maii 2015.</w:t>
      </w:r>
    </w:p>
    <w:p w14:paraId="0D390060" w14:textId="77777777" w:rsidR="00483682" w:rsidRPr="00C0716F" w:rsidRDefault="00483682" w:rsidP="00DE1073">
      <w:pPr>
        <w:pStyle w:val="Style"/>
        <w:widowControl/>
        <w:spacing w:before="120" w:after="120"/>
        <w:ind w:firstLine="709"/>
        <w:jc w:val="right"/>
        <w:textAlignment w:val="baseline"/>
        <w:rPr>
          <w:rFonts w:ascii="Times New Roman" w:eastAsia="TimesNewRomanPS-ItalicMT" w:hAnsi="Times New Roman" w:cs="Times New Roman"/>
          <w:i/>
          <w:iCs/>
        </w:rPr>
      </w:pPr>
      <w:r w:rsidRPr="00E41631">
        <w:rPr>
          <w:rFonts w:ascii="Times New Roman" w:hAnsi="Times New Roman" w:cs="Times New Roman"/>
          <w:smallCaps/>
        </w:rPr>
        <w:t>Pius Vitus Pinto</w:t>
      </w:r>
      <w:r w:rsidRPr="00C0716F">
        <w:rPr>
          <w:rFonts w:ascii="Times New Roman" w:hAnsi="Times New Roman" w:cs="Times New Roman"/>
        </w:rPr>
        <w:t xml:space="preserve">, </w:t>
      </w:r>
      <w:r w:rsidRPr="00C0716F">
        <w:rPr>
          <w:rFonts w:ascii="Times New Roman" w:eastAsia="TimesNewRomanPS-ItalicMT" w:hAnsi="Times New Roman" w:cs="Times New Roman"/>
          <w:i/>
          <w:iCs/>
        </w:rPr>
        <w:t xml:space="preserve">Decanus, Ponens </w:t>
      </w:r>
    </w:p>
    <w:p w14:paraId="5ED02170" w14:textId="77777777" w:rsidR="00483682" w:rsidRPr="00E41631" w:rsidRDefault="00483682" w:rsidP="00DE1073">
      <w:pPr>
        <w:pStyle w:val="Style"/>
        <w:widowControl/>
        <w:spacing w:before="120" w:after="120"/>
        <w:ind w:firstLine="709"/>
        <w:jc w:val="right"/>
        <w:textAlignment w:val="baseline"/>
        <w:rPr>
          <w:rFonts w:ascii="Times New Roman" w:hAnsi="Times New Roman" w:cs="Times New Roman"/>
          <w:smallCaps/>
        </w:rPr>
      </w:pPr>
      <w:r w:rsidRPr="00E41631">
        <w:rPr>
          <w:rFonts w:ascii="Times New Roman" w:hAnsi="Times New Roman" w:cs="Times New Roman"/>
          <w:smallCaps/>
        </w:rPr>
        <w:t>Alexander W. Bunge</w:t>
      </w:r>
    </w:p>
    <w:p w14:paraId="719FB939" w14:textId="77777777" w:rsidR="00483682" w:rsidRPr="00E41631" w:rsidRDefault="00483682" w:rsidP="00DE1073">
      <w:pPr>
        <w:pStyle w:val="Style"/>
        <w:widowControl/>
        <w:spacing w:before="120" w:after="120"/>
        <w:ind w:firstLine="709"/>
        <w:jc w:val="right"/>
        <w:textAlignment w:val="baseline"/>
        <w:rPr>
          <w:rFonts w:ascii="Times New Roman" w:hAnsi="Times New Roman" w:cs="Times New Roman"/>
          <w:smallCaps/>
        </w:rPr>
      </w:pPr>
      <w:r w:rsidRPr="00E41631">
        <w:rPr>
          <w:rFonts w:ascii="Times New Roman" w:hAnsi="Times New Roman" w:cs="Times New Roman"/>
          <w:smallCaps/>
        </w:rPr>
        <w:t>Antonius Bartolacci</w:t>
      </w:r>
    </w:p>
    <w:p w14:paraId="4E005971" w14:textId="0641196D" w:rsidR="00255C2E" w:rsidRPr="00C0716F" w:rsidRDefault="00DE1073" w:rsidP="00DE1073">
      <w:pPr>
        <w:pStyle w:val="Style"/>
        <w:widowControl/>
        <w:spacing w:before="120" w:after="120"/>
        <w:ind w:firstLine="709"/>
        <w:textAlignment w:val="baseline"/>
        <w:rPr>
          <w:rFonts w:ascii="Times New Roman" w:hAnsi="Times New Roman" w:cs="Times New Roman"/>
        </w:rPr>
      </w:pPr>
      <w:r>
        <w:rPr>
          <w:rFonts w:ascii="Times New Roman" w:hAnsi="Times New Roman" w:cs="Times New Roman"/>
        </w:rPr>
        <w:t xml:space="preserve"> </w:t>
      </w:r>
      <w:r w:rsidR="00AA231A">
        <w:rPr>
          <w:rFonts w:ascii="Times New Roman" w:hAnsi="Times New Roman" w:cs="Times New Roman"/>
        </w:rPr>
        <w:t>(</w:t>
      </w:r>
      <w:r w:rsidR="00AA231A" w:rsidRPr="00AA231A">
        <w:rPr>
          <w:rFonts w:ascii="Times New Roman" w:hAnsi="Times New Roman" w:cs="Times New Roman"/>
          <w:i/>
        </w:rPr>
        <w:t>omissis</w:t>
      </w:r>
      <w:r w:rsidR="00AA231A">
        <w:rPr>
          <w:rFonts w:ascii="Times New Roman" w:hAnsi="Times New Roman" w:cs="Times New Roman"/>
        </w:rPr>
        <w:t>)</w:t>
      </w:r>
    </w:p>
    <w:p w14:paraId="05E87F06" w14:textId="227B6223" w:rsidR="0008084F" w:rsidRDefault="00483682" w:rsidP="00DE1073">
      <w:pPr>
        <w:spacing w:before="120" w:after="120"/>
        <w:ind w:firstLine="709"/>
        <w:jc w:val="both"/>
        <w:rPr>
          <w:rFonts w:ascii="Times New Roman" w:hAnsi="Times New Roman" w:cs="Times New Roman"/>
        </w:rPr>
      </w:pPr>
      <w:r w:rsidRPr="00C0716F">
        <w:rPr>
          <w:rFonts w:ascii="Times New Roman" w:hAnsi="Times New Roman" w:cs="Times New Roman"/>
        </w:rPr>
        <w:t>Hoc Decretu</w:t>
      </w:r>
      <w:r w:rsidR="00EA1328">
        <w:rPr>
          <w:rFonts w:ascii="Times New Roman" w:hAnsi="Times New Roman" w:cs="Times New Roman"/>
        </w:rPr>
        <w:t>m, quod sententiam a Tribunali R</w:t>
      </w:r>
      <w:r w:rsidRPr="00C0716F">
        <w:rPr>
          <w:rFonts w:ascii="Times New Roman" w:hAnsi="Times New Roman" w:cs="Times New Roman"/>
        </w:rPr>
        <w:t xml:space="preserve">eg. Apulo pro nullitate in prima instantia die 20 martii 2014 latam confirmat, est </w:t>
      </w:r>
      <w:proofErr w:type="spellStart"/>
      <w:r w:rsidRPr="00C0716F">
        <w:rPr>
          <w:rFonts w:ascii="Times New Roman" w:hAnsi="Times New Roman" w:cs="Times New Roman"/>
        </w:rPr>
        <w:t>exsecutivum</w:t>
      </w:r>
      <w:proofErr w:type="spellEnd"/>
      <w:r w:rsidRPr="00C0716F">
        <w:rPr>
          <w:rFonts w:ascii="Times New Roman" w:hAnsi="Times New Roman" w:cs="Times New Roman"/>
        </w:rPr>
        <w:t>.</w:t>
      </w:r>
    </w:p>
    <w:p w14:paraId="2F072C4A" w14:textId="1F9A8731" w:rsidR="00E03490" w:rsidRPr="00C0716F" w:rsidRDefault="00E03490" w:rsidP="00DE1073">
      <w:pPr>
        <w:spacing w:before="120" w:after="120"/>
        <w:ind w:firstLine="709"/>
        <w:jc w:val="both"/>
        <w:rPr>
          <w:rFonts w:ascii="Times New Roman" w:hAnsi="Times New Roman" w:cs="Times New Roman"/>
        </w:rPr>
      </w:pPr>
      <w:r>
        <w:rPr>
          <w:rFonts w:ascii="Times New Roman" w:hAnsi="Times New Roman" w:cs="Times New Roman"/>
        </w:rPr>
        <w:t>(</w:t>
      </w:r>
      <w:proofErr w:type="spellStart"/>
      <w:r w:rsidRPr="00E03490">
        <w:rPr>
          <w:rFonts w:ascii="Times New Roman" w:hAnsi="Times New Roman" w:cs="Times New Roman"/>
          <w:i/>
        </w:rPr>
        <w:t>omissis</w:t>
      </w:r>
      <w:proofErr w:type="spellEnd"/>
      <w:r>
        <w:rPr>
          <w:rFonts w:ascii="Times New Roman" w:hAnsi="Times New Roman" w:cs="Times New Roman"/>
        </w:rPr>
        <w:t>)</w:t>
      </w:r>
    </w:p>
    <w:sectPr w:rsidR="00E03490" w:rsidRPr="00C0716F" w:rsidSect="003F3EFC">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2519C0" w14:textId="77777777" w:rsidR="00E41631" w:rsidRDefault="00E41631" w:rsidP="005E5BB4">
      <w:r>
        <w:separator/>
      </w:r>
    </w:p>
  </w:endnote>
  <w:endnote w:type="continuationSeparator" w:id="0">
    <w:p w14:paraId="4BC178F1" w14:textId="77777777" w:rsidR="00E41631" w:rsidRDefault="00E41631" w:rsidP="005E5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MT">
    <w:altName w:val="Arial"/>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1F5212" w14:textId="77777777" w:rsidR="00E41631" w:rsidRDefault="00E41631" w:rsidP="005E5BB4">
      <w:r>
        <w:separator/>
      </w:r>
    </w:p>
  </w:footnote>
  <w:footnote w:type="continuationSeparator" w:id="0">
    <w:p w14:paraId="250D5F4B" w14:textId="77777777" w:rsidR="00E41631" w:rsidRDefault="00E41631" w:rsidP="005E5BB4">
      <w:r>
        <w:continuationSeparator/>
      </w:r>
    </w:p>
  </w:footnote>
  <w:footnote w:id="1">
    <w:p w14:paraId="2DA3CEE7" w14:textId="764EE17E" w:rsidR="00E41631" w:rsidRPr="00D06A1A" w:rsidRDefault="00E41631" w:rsidP="005E5BB4">
      <w:pPr>
        <w:pStyle w:val="Pidipagina"/>
        <w:jc w:val="both"/>
        <w:rPr>
          <w:rFonts w:ascii="Times New Roman" w:hAnsi="Times New Roman"/>
          <w:sz w:val="20"/>
        </w:rPr>
      </w:pPr>
      <w:r w:rsidRPr="00D06A1A">
        <w:rPr>
          <w:rStyle w:val="Rimandonotaapidipagina"/>
          <w:sz w:val="20"/>
        </w:rPr>
        <w:t>(*)</w:t>
      </w:r>
      <w:r w:rsidRPr="00D06A1A">
        <w:rPr>
          <w:rFonts w:ascii="Times New Roman" w:hAnsi="Times New Roman"/>
          <w:sz w:val="20"/>
        </w:rPr>
        <w:t xml:space="preserve"> Vedi, alla fine </w:t>
      </w:r>
      <w:r>
        <w:rPr>
          <w:rFonts w:ascii="Times New Roman" w:hAnsi="Times New Roman"/>
          <w:sz w:val="20"/>
        </w:rPr>
        <w:t>del decreto</w:t>
      </w:r>
      <w:r w:rsidRPr="00D06A1A">
        <w:rPr>
          <w:rFonts w:ascii="Times New Roman" w:hAnsi="Times New Roman"/>
          <w:sz w:val="20"/>
        </w:rPr>
        <w:t xml:space="preserve">, nota di </w:t>
      </w:r>
      <w:r w:rsidRPr="00D06A1A">
        <w:rPr>
          <w:rFonts w:ascii="Times New Roman" w:hAnsi="Times New Roman"/>
          <w:smallCaps/>
          <w:sz w:val="20"/>
        </w:rPr>
        <w:t>H. Franceschi</w:t>
      </w:r>
      <w:r w:rsidRPr="00D06A1A">
        <w:rPr>
          <w:rFonts w:ascii="Times New Roman" w:hAnsi="Times New Roman"/>
          <w:sz w:val="20"/>
        </w:rPr>
        <w:t xml:space="preserve">, </w:t>
      </w:r>
      <w:r>
        <w:rPr>
          <w:rFonts w:ascii="Times New Roman" w:hAnsi="Times New Roman"/>
          <w:i/>
          <w:sz w:val="20"/>
        </w:rPr>
        <w:t>La relazione tra dolo e condizione e la natura della qualità che può perturbare gravemente il consorzio di vita coniugale</w:t>
      </w:r>
      <w:r w:rsidRPr="00D06A1A">
        <w:rPr>
          <w:rFonts w:ascii="Times New Roman" w:hAnsi="Times New Roman"/>
          <w:sz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682"/>
    <w:rsid w:val="0008084F"/>
    <w:rsid w:val="00095CD5"/>
    <w:rsid w:val="00131F3C"/>
    <w:rsid w:val="00156339"/>
    <w:rsid w:val="00161049"/>
    <w:rsid w:val="001E5164"/>
    <w:rsid w:val="00255C2E"/>
    <w:rsid w:val="00303C2E"/>
    <w:rsid w:val="0035532F"/>
    <w:rsid w:val="003F3EFC"/>
    <w:rsid w:val="00483682"/>
    <w:rsid w:val="004C2744"/>
    <w:rsid w:val="004F391A"/>
    <w:rsid w:val="00505C66"/>
    <w:rsid w:val="005770D7"/>
    <w:rsid w:val="005E2FBE"/>
    <w:rsid w:val="005E5BB4"/>
    <w:rsid w:val="00632FBF"/>
    <w:rsid w:val="00697CE9"/>
    <w:rsid w:val="006E5CEC"/>
    <w:rsid w:val="00724BE9"/>
    <w:rsid w:val="00747A63"/>
    <w:rsid w:val="008201BF"/>
    <w:rsid w:val="00897298"/>
    <w:rsid w:val="008E2917"/>
    <w:rsid w:val="009D229B"/>
    <w:rsid w:val="00A9267F"/>
    <w:rsid w:val="00A94A65"/>
    <w:rsid w:val="00AA231A"/>
    <w:rsid w:val="00AB6AAB"/>
    <w:rsid w:val="00BD5470"/>
    <w:rsid w:val="00C0716F"/>
    <w:rsid w:val="00C91EF9"/>
    <w:rsid w:val="00D6219A"/>
    <w:rsid w:val="00DE1073"/>
    <w:rsid w:val="00E03490"/>
    <w:rsid w:val="00E1525C"/>
    <w:rsid w:val="00E21592"/>
    <w:rsid w:val="00E41631"/>
    <w:rsid w:val="00EA1328"/>
    <w:rsid w:val="00EB0100"/>
    <w:rsid w:val="00EE3114"/>
    <w:rsid w:val="00EE465F"/>
    <w:rsid w:val="00F355D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EC66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dellanota">
    <w:name w:val="Carattere della nota"/>
    <w:qFormat/>
    <w:rsid w:val="009D229B"/>
    <w:rPr>
      <w:rFonts w:ascii="Times New Roman" w:hAnsi="Times New Roman"/>
      <w:position w:val="2"/>
      <w:sz w:val="22"/>
    </w:rPr>
  </w:style>
  <w:style w:type="paragraph" w:customStyle="1" w:styleId="RotaRomana">
    <w:name w:val="Rota Romana"/>
    <w:basedOn w:val="Normale"/>
    <w:qFormat/>
    <w:rsid w:val="008E2917"/>
    <w:pPr>
      <w:spacing w:line="360" w:lineRule="auto"/>
      <w:jc w:val="both"/>
    </w:pPr>
    <w:rPr>
      <w:rFonts w:ascii="Times New Roman" w:hAnsi="Times New Roman" w:cs="Times New Roman"/>
      <w:spacing w:val="-3"/>
      <w:sz w:val="28"/>
      <w:szCs w:val="26"/>
      <w:lang w:val="en-US"/>
    </w:rPr>
  </w:style>
  <w:style w:type="paragraph" w:customStyle="1" w:styleId="Style">
    <w:name w:val="Style"/>
    <w:rsid w:val="00483682"/>
    <w:pPr>
      <w:widowControl w:val="0"/>
      <w:autoSpaceDE w:val="0"/>
      <w:autoSpaceDN w:val="0"/>
      <w:adjustRightInd w:val="0"/>
    </w:pPr>
    <w:rPr>
      <w:rFonts w:ascii="TimesNewRomanPSMT" w:eastAsia="Times New Roman" w:hAnsi="TimesNewRomanPSMT" w:cs="TimesNewRomanPSMT"/>
      <w:lang w:val="it" w:eastAsia="zh-CN"/>
    </w:rPr>
  </w:style>
  <w:style w:type="character" w:styleId="Rimandonotaapidipagina">
    <w:name w:val="footnote reference"/>
    <w:basedOn w:val="Caratterepredefinitoparagrafo"/>
    <w:semiHidden/>
    <w:rsid w:val="005E5BB4"/>
    <w:rPr>
      <w:rFonts w:ascii="Times New Roman" w:hAnsi="Times New Roman" w:cs="Courier New"/>
      <w:sz w:val="18"/>
      <w:szCs w:val="27"/>
      <w:vertAlign w:val="superscript"/>
      <w:lang w:val="en-US"/>
    </w:rPr>
  </w:style>
  <w:style w:type="paragraph" w:styleId="Pidipagina">
    <w:name w:val="footer"/>
    <w:basedOn w:val="Normale"/>
    <w:link w:val="PidipaginaCarattere"/>
    <w:rsid w:val="005E5BB4"/>
    <w:pPr>
      <w:widowControl w:val="0"/>
      <w:tabs>
        <w:tab w:val="center" w:pos="4819"/>
        <w:tab w:val="right" w:pos="9638"/>
      </w:tabs>
      <w:autoSpaceDE w:val="0"/>
      <w:autoSpaceDN w:val="0"/>
      <w:adjustRightInd w:val="0"/>
    </w:pPr>
    <w:rPr>
      <w:rFonts w:ascii="Courier" w:eastAsia="Times New Roman" w:hAnsi="Courier" w:cs="Times New Roman"/>
      <w:lang w:val="it-IT" w:eastAsia="it-IT"/>
    </w:rPr>
  </w:style>
  <w:style w:type="character" w:customStyle="1" w:styleId="PidipaginaCarattere">
    <w:name w:val="Piè di pagina Carattere"/>
    <w:basedOn w:val="Caratterepredefinitoparagrafo"/>
    <w:link w:val="Pidipagina"/>
    <w:rsid w:val="005E5BB4"/>
    <w:rPr>
      <w:rFonts w:ascii="Courier" w:eastAsia="Times New Roman" w:hAnsi="Courier" w:cs="Times New Roman"/>
      <w:lang w:val="it-IT" w:eastAsia="it-IT"/>
    </w:rPr>
  </w:style>
  <w:style w:type="paragraph" w:customStyle="1" w:styleId="n">
    <w:name w:val="n"/>
    <w:basedOn w:val="Normale"/>
    <w:rsid w:val="005E5BB4"/>
    <w:pPr>
      <w:spacing w:before="240"/>
      <w:ind w:firstLine="560"/>
      <w:jc w:val="both"/>
    </w:pPr>
    <w:rPr>
      <w:rFonts w:ascii="Palatino" w:eastAsia="Times New Roman" w:hAnsi="Palatino" w:cs="Times New Roman"/>
      <w:szCs w:val="20"/>
      <w:lang w:eastAsia="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dellanota">
    <w:name w:val="Carattere della nota"/>
    <w:qFormat/>
    <w:rsid w:val="009D229B"/>
    <w:rPr>
      <w:rFonts w:ascii="Times New Roman" w:hAnsi="Times New Roman"/>
      <w:position w:val="2"/>
      <w:sz w:val="22"/>
    </w:rPr>
  </w:style>
  <w:style w:type="paragraph" w:customStyle="1" w:styleId="RotaRomana">
    <w:name w:val="Rota Romana"/>
    <w:basedOn w:val="Normale"/>
    <w:qFormat/>
    <w:rsid w:val="008E2917"/>
    <w:pPr>
      <w:spacing w:line="360" w:lineRule="auto"/>
      <w:jc w:val="both"/>
    </w:pPr>
    <w:rPr>
      <w:rFonts w:ascii="Times New Roman" w:hAnsi="Times New Roman" w:cs="Times New Roman"/>
      <w:spacing w:val="-3"/>
      <w:sz w:val="28"/>
      <w:szCs w:val="26"/>
      <w:lang w:val="en-US"/>
    </w:rPr>
  </w:style>
  <w:style w:type="paragraph" w:customStyle="1" w:styleId="Style">
    <w:name w:val="Style"/>
    <w:rsid w:val="00483682"/>
    <w:pPr>
      <w:widowControl w:val="0"/>
      <w:autoSpaceDE w:val="0"/>
      <w:autoSpaceDN w:val="0"/>
      <w:adjustRightInd w:val="0"/>
    </w:pPr>
    <w:rPr>
      <w:rFonts w:ascii="TimesNewRomanPSMT" w:eastAsia="Times New Roman" w:hAnsi="TimesNewRomanPSMT" w:cs="TimesNewRomanPSMT"/>
      <w:lang w:val="it" w:eastAsia="zh-CN"/>
    </w:rPr>
  </w:style>
  <w:style w:type="character" w:styleId="Rimandonotaapidipagina">
    <w:name w:val="footnote reference"/>
    <w:basedOn w:val="Caratterepredefinitoparagrafo"/>
    <w:semiHidden/>
    <w:rsid w:val="005E5BB4"/>
    <w:rPr>
      <w:rFonts w:ascii="Times New Roman" w:hAnsi="Times New Roman" w:cs="Courier New"/>
      <w:sz w:val="18"/>
      <w:szCs w:val="27"/>
      <w:vertAlign w:val="superscript"/>
      <w:lang w:val="en-US"/>
    </w:rPr>
  </w:style>
  <w:style w:type="paragraph" w:styleId="Pidipagina">
    <w:name w:val="footer"/>
    <w:basedOn w:val="Normale"/>
    <w:link w:val="PidipaginaCarattere"/>
    <w:rsid w:val="005E5BB4"/>
    <w:pPr>
      <w:widowControl w:val="0"/>
      <w:tabs>
        <w:tab w:val="center" w:pos="4819"/>
        <w:tab w:val="right" w:pos="9638"/>
      </w:tabs>
      <w:autoSpaceDE w:val="0"/>
      <w:autoSpaceDN w:val="0"/>
      <w:adjustRightInd w:val="0"/>
    </w:pPr>
    <w:rPr>
      <w:rFonts w:ascii="Courier" w:eastAsia="Times New Roman" w:hAnsi="Courier" w:cs="Times New Roman"/>
      <w:lang w:val="it-IT" w:eastAsia="it-IT"/>
    </w:rPr>
  </w:style>
  <w:style w:type="character" w:customStyle="1" w:styleId="PidipaginaCarattere">
    <w:name w:val="Piè di pagina Carattere"/>
    <w:basedOn w:val="Caratterepredefinitoparagrafo"/>
    <w:link w:val="Pidipagina"/>
    <w:rsid w:val="005E5BB4"/>
    <w:rPr>
      <w:rFonts w:ascii="Courier" w:eastAsia="Times New Roman" w:hAnsi="Courier" w:cs="Times New Roman"/>
      <w:lang w:val="it-IT" w:eastAsia="it-IT"/>
    </w:rPr>
  </w:style>
  <w:style w:type="paragraph" w:customStyle="1" w:styleId="n">
    <w:name w:val="n"/>
    <w:basedOn w:val="Normale"/>
    <w:rsid w:val="005E5BB4"/>
    <w:pPr>
      <w:spacing w:before="240"/>
      <w:ind w:firstLine="560"/>
      <w:jc w:val="both"/>
    </w:pPr>
    <w:rPr>
      <w:rFonts w:ascii="Palatino" w:eastAsia="Times New Roman" w:hAnsi="Palatino" w:cs="Times New Roman"/>
      <w:szCs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4</Pages>
  <Words>1720</Words>
  <Characters>9804</Characters>
  <Application>Microsoft Macintosh Word</Application>
  <DocSecurity>0</DocSecurity>
  <Lines>81</Lines>
  <Paragraphs>23</Paragraphs>
  <ScaleCrop>false</ScaleCrop>
  <Company/>
  <LinksUpToDate>false</LinksUpToDate>
  <CharactersWithSpaces>11501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Gonzalez Alonso</dc:creator>
  <cp:keywords/>
  <dc:description/>
  <cp:lastModifiedBy>Héctor Franceschi</cp:lastModifiedBy>
  <cp:revision>14</cp:revision>
  <dcterms:created xsi:type="dcterms:W3CDTF">2016-04-12T14:48:00Z</dcterms:created>
  <dcterms:modified xsi:type="dcterms:W3CDTF">2016-04-24T07:27:00Z</dcterms:modified>
</cp:coreProperties>
</file>